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743" w:rsidRPr="00805CE2" w:rsidRDefault="00560743" w:rsidP="00560743">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w:t>
      </w:r>
      <w:r w:rsidRPr="005A132A">
        <w:rPr>
          <w:rFonts w:ascii="Tahoma" w:hAnsi="Tahoma" w:cs="Tahoma"/>
          <w:i/>
          <w:color w:val="auto"/>
          <w:sz w:val="32"/>
          <w:szCs w:val="32"/>
        </w:rPr>
        <w:t xml:space="preserve">sostitutive di atto di notorietà </w:t>
      </w:r>
      <w:r>
        <w:rPr>
          <w:rFonts w:ascii="Tahoma" w:hAnsi="Tahoma" w:cs="Tahoma"/>
          <w:i/>
          <w:color w:val="auto"/>
          <w:sz w:val="32"/>
          <w:szCs w:val="32"/>
        </w:rPr>
        <w:t xml:space="preserve">ai sensi del DPR 445/2000 sulle </w:t>
      </w:r>
      <w:r w:rsidRPr="00805CE2">
        <w:rPr>
          <w:rFonts w:ascii="Tahoma" w:hAnsi="Tahoma" w:cs="Tahoma"/>
          <w:i/>
          <w:color w:val="auto"/>
          <w:sz w:val="32"/>
          <w:szCs w:val="32"/>
        </w:rPr>
        <w:t xml:space="preserve">procedure d’appalto di </w:t>
      </w:r>
      <w:r>
        <w:rPr>
          <w:rFonts w:ascii="Tahoma" w:hAnsi="Tahoma" w:cs="Tahoma"/>
          <w:i/>
          <w:color w:val="auto"/>
          <w:sz w:val="32"/>
          <w:szCs w:val="32"/>
        </w:rPr>
        <w:t>lavori</w:t>
      </w:r>
      <w:r w:rsidRPr="00805CE2">
        <w:rPr>
          <w:rFonts w:ascii="Tahoma" w:hAnsi="Tahoma" w:cs="Tahoma"/>
          <w:i/>
          <w:color w:val="auto"/>
          <w:sz w:val="32"/>
          <w:szCs w:val="32"/>
        </w:rPr>
        <w:t xml:space="preserve"> adottate dai beneficiari</w:t>
      </w:r>
    </w:p>
    <w:p w:rsidR="00560743" w:rsidRPr="00805CE2" w:rsidRDefault="00560743" w:rsidP="00560743">
      <w:pPr>
        <w:pStyle w:val="titolo100"/>
        <w:spacing w:line="240" w:lineRule="auto"/>
        <w:rPr>
          <w:rFonts w:ascii="Tahoma" w:hAnsi="Tahoma" w:cs="Tahoma"/>
          <w:i/>
          <w:color w:val="auto"/>
          <w:sz w:val="32"/>
          <w:szCs w:val="32"/>
        </w:rPr>
      </w:pPr>
      <w:r>
        <w:rPr>
          <w:rFonts w:ascii="Tahoma" w:hAnsi="Tahoma" w:cs="Tahoma"/>
          <w:i/>
          <w:color w:val="auto"/>
          <w:sz w:val="32"/>
          <w:szCs w:val="32"/>
        </w:rPr>
        <w:t>(</w:t>
      </w:r>
      <w:r w:rsidRPr="005A132A">
        <w:rPr>
          <w:rFonts w:ascii="Tahoma" w:hAnsi="Tahoma" w:cs="Tahoma"/>
          <w:i/>
          <w:color w:val="auto"/>
          <w:sz w:val="32"/>
          <w:szCs w:val="32"/>
        </w:rPr>
        <w:t>in applicazione del codice degli appalti D.Lgs. 50/2016)</w:t>
      </w: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rPr>
          <w:rFonts w:ascii="Tahoma" w:hAnsi="Tahoma" w:cs="Tahoma"/>
          <w:i/>
          <w:color w:val="auto"/>
          <w:sz w:val="18"/>
          <w:szCs w:val="18"/>
        </w:rPr>
      </w:pPr>
    </w:p>
    <w:p w:rsidR="00560743" w:rsidRDefault="00560743" w:rsidP="00560743">
      <w:pPr>
        <w:pStyle w:val="titolo100"/>
        <w:spacing w:line="240" w:lineRule="auto"/>
        <w:jc w:val="left"/>
        <w:rPr>
          <w:rFonts w:ascii="Tahoma" w:hAnsi="Tahoma" w:cs="Tahoma"/>
          <w:b w:val="0"/>
          <w:color w:val="auto"/>
          <w:sz w:val="18"/>
          <w:szCs w:val="18"/>
        </w:rPr>
      </w:pPr>
    </w:p>
    <w:p w:rsidR="00560743" w:rsidRDefault="00560743" w:rsidP="00560743">
      <w:pPr>
        <w:pStyle w:val="titolo100"/>
        <w:spacing w:line="240" w:lineRule="auto"/>
        <w:jc w:val="left"/>
        <w:rPr>
          <w:rFonts w:ascii="Tahoma" w:hAnsi="Tahoma" w:cs="Tahoma"/>
          <w:b w:val="0"/>
          <w:color w:val="auto"/>
          <w:sz w:val="18"/>
          <w:szCs w:val="18"/>
        </w:rPr>
      </w:pPr>
    </w:p>
    <w:p w:rsidR="00560743" w:rsidRDefault="00560743" w:rsidP="00560743">
      <w:pPr>
        <w:pStyle w:val="titolo100"/>
        <w:spacing w:line="240" w:lineRule="auto"/>
        <w:jc w:val="left"/>
        <w:rPr>
          <w:rFonts w:ascii="Tahoma" w:hAnsi="Tahoma" w:cs="Tahoma"/>
          <w:b w:val="0"/>
          <w:color w:val="auto"/>
          <w:sz w:val="18"/>
          <w:szCs w:val="18"/>
        </w:rPr>
      </w:pPr>
    </w:p>
    <w:p w:rsidR="00560743" w:rsidRDefault="00560743" w:rsidP="00560743">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rsidR="00560743" w:rsidRDefault="00560743" w:rsidP="00560743">
      <w:pPr>
        <w:pStyle w:val="titolo100"/>
        <w:spacing w:line="240" w:lineRule="auto"/>
        <w:jc w:val="left"/>
        <w:rPr>
          <w:rFonts w:ascii="Tahoma" w:hAnsi="Tahoma" w:cs="Tahoma"/>
          <w:b w:val="0"/>
          <w:color w:val="auto"/>
          <w:sz w:val="18"/>
          <w:szCs w:val="18"/>
        </w:rPr>
      </w:pPr>
      <w:r w:rsidRPr="003A51E1">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Pr>
          <w:rFonts w:ascii="Tahoma" w:hAnsi="Tahoma" w:cs="Tahoma"/>
          <w:b w:val="0"/>
          <w:color w:val="auto"/>
          <w:sz w:val="18"/>
          <w:szCs w:val="18"/>
        </w:rPr>
        <w:t>7</w:t>
      </w:r>
      <w:r w:rsidRPr="003A51E1">
        <w:rPr>
          <w:rFonts w:ascii="Tahoma" w:hAnsi="Tahoma" w:cs="Tahoma"/>
          <w:b w:val="0"/>
          <w:color w:val="auto"/>
          <w:sz w:val="18"/>
          <w:szCs w:val="18"/>
        </w:rPr>
        <w:t xml:space="preserve"> , 4</w:t>
      </w:r>
      <w:r>
        <w:rPr>
          <w:rFonts w:ascii="Tahoma" w:hAnsi="Tahoma" w:cs="Tahoma"/>
          <w:b w:val="0"/>
          <w:color w:val="auto"/>
          <w:sz w:val="18"/>
          <w:szCs w:val="18"/>
        </w:rPr>
        <w:t>8</w:t>
      </w:r>
      <w:r w:rsidRPr="003A51E1">
        <w:rPr>
          <w:rFonts w:ascii="Tahoma" w:hAnsi="Tahoma" w:cs="Tahoma"/>
          <w:b w:val="0"/>
          <w:color w:val="auto"/>
          <w:sz w:val="18"/>
          <w:szCs w:val="18"/>
        </w:rPr>
        <w:t xml:space="preserve"> e 76 del D.P.R n. 445 del 28 dicembre 2000</w:t>
      </w:r>
    </w:p>
    <w:p w:rsidR="00560743" w:rsidRDefault="00560743" w:rsidP="00560743">
      <w:pPr>
        <w:pStyle w:val="titolo100"/>
        <w:spacing w:line="240" w:lineRule="auto"/>
        <w:rPr>
          <w:rFonts w:ascii="Tahoma" w:hAnsi="Tahoma" w:cs="Tahoma"/>
          <w:color w:val="auto"/>
          <w:sz w:val="18"/>
          <w:szCs w:val="18"/>
        </w:rPr>
      </w:pPr>
    </w:p>
    <w:p w:rsidR="00560743" w:rsidRPr="00CF1BE1" w:rsidRDefault="00560743" w:rsidP="00560743">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rsidR="006911F2" w:rsidRDefault="006911F2"/>
    <w:tbl>
      <w:tblPr>
        <w:tblStyle w:val="TableGrid"/>
        <w:tblpPr w:leftFromText="141" w:rightFromText="141" w:vertAnchor="text" w:horzAnchor="margin" w:tblpY="180"/>
        <w:tblW w:w="0" w:type="auto"/>
        <w:tblLook w:val="04A0" w:firstRow="1" w:lastRow="0" w:firstColumn="1" w:lastColumn="0" w:noHBand="0" w:noVBand="1"/>
      </w:tblPr>
      <w:tblGrid>
        <w:gridCol w:w="14317"/>
      </w:tblGrid>
      <w:tr w:rsidR="00560743" w:rsidTr="00560743">
        <w:tc>
          <w:tcPr>
            <w:tcW w:w="14317" w:type="dxa"/>
            <w:shd w:val="clear" w:color="auto" w:fill="B6DDE8" w:themeFill="accent5" w:themeFillTint="66"/>
          </w:tcPr>
          <w:p w:rsidR="00560743" w:rsidRPr="00B133E4" w:rsidRDefault="00560743" w:rsidP="00560743">
            <w:pPr>
              <w:pStyle w:val="Heading3"/>
              <w:jc w:val="center"/>
              <w:rPr>
                <w:b/>
                <w:bCs/>
                <w:sz w:val="20"/>
                <w:szCs w:val="20"/>
                <w:u w:val="none"/>
              </w:rPr>
            </w:pPr>
            <w:r w:rsidRPr="00E04A14">
              <w:rPr>
                <w:b/>
                <w:bCs/>
                <w:sz w:val="20"/>
                <w:szCs w:val="20"/>
                <w:u w:val="none"/>
              </w:rPr>
              <w:t xml:space="preserve">Adempimenti specifici in merito all’affidamento di contratto pubblico relativo </w:t>
            </w:r>
            <w:r w:rsidRPr="002250C0">
              <w:rPr>
                <w:b/>
                <w:bCs/>
                <w:sz w:val="20"/>
                <w:szCs w:val="20"/>
                <w:u w:val="none"/>
              </w:rPr>
              <w:t xml:space="preserve">a lavori nei settori ordinari </w:t>
            </w:r>
            <w:r>
              <w:rPr>
                <w:b/>
                <w:bCs/>
                <w:sz w:val="20"/>
                <w:szCs w:val="20"/>
                <w:u w:val="none"/>
              </w:rPr>
              <w:t>senza</w:t>
            </w:r>
            <w:r w:rsidRPr="002250C0">
              <w:rPr>
                <w:b/>
                <w:bCs/>
                <w:sz w:val="20"/>
                <w:szCs w:val="20"/>
                <w:u w:val="none"/>
              </w:rPr>
              <w:t xml:space="preserve"> rilevanza comunitaria mediante procedura </w:t>
            </w:r>
            <w:r>
              <w:rPr>
                <w:b/>
                <w:bCs/>
                <w:sz w:val="20"/>
                <w:szCs w:val="20"/>
                <w:u w:val="none"/>
              </w:rPr>
              <w:t xml:space="preserve">di affidamento diretto senza </w:t>
            </w:r>
            <w:r w:rsidRPr="002250C0">
              <w:rPr>
                <w:b/>
                <w:bCs/>
                <w:sz w:val="20"/>
                <w:szCs w:val="20"/>
                <w:u w:val="none"/>
              </w:rPr>
              <w:t xml:space="preserve">pubblicazione di un </w:t>
            </w:r>
            <w:r w:rsidRPr="00B133E4">
              <w:rPr>
                <w:b/>
                <w:bCs/>
                <w:sz w:val="20"/>
                <w:szCs w:val="20"/>
                <w:u w:val="none"/>
              </w:rPr>
              <w:t>bando</w:t>
            </w:r>
          </w:p>
          <w:p w:rsidR="00560743" w:rsidRPr="003C0DDB" w:rsidRDefault="00560743" w:rsidP="00560743">
            <w:pPr>
              <w:pStyle w:val="Heading3"/>
              <w:jc w:val="center"/>
              <w:rPr>
                <w:b/>
                <w:bCs/>
                <w:sz w:val="20"/>
                <w:szCs w:val="20"/>
                <w:u w:val="none"/>
              </w:rPr>
            </w:pPr>
            <w:r w:rsidRPr="00C42531">
              <w:rPr>
                <w:b/>
                <w:bCs/>
                <w:sz w:val="20"/>
                <w:szCs w:val="20"/>
                <w:u w:val="none"/>
              </w:rPr>
              <w:t>(</w:t>
            </w:r>
            <w:r>
              <w:rPr>
                <w:b/>
                <w:bCs/>
                <w:sz w:val="20"/>
                <w:szCs w:val="20"/>
                <w:u w:val="none"/>
              </w:rPr>
              <w:t xml:space="preserve">art. 36, comma 2 lett. a)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rsidR="00560743" w:rsidRDefault="00560743">
      <w:bookmarkStart w:id="0" w:name="_GoBack"/>
      <w:bookmarkEnd w:id="0"/>
    </w:p>
    <w:p w:rsidR="00560743" w:rsidRDefault="00560743"/>
    <w:p w:rsidR="0045521F" w:rsidRDefault="0045521F" w:rsidP="0045521F">
      <w:pPr>
        <w:spacing w:line="240" w:lineRule="auto"/>
        <w:rPr>
          <w:rFonts w:cs="Tahoma"/>
          <w:color w:val="000000"/>
          <w:sz w:val="18"/>
          <w:szCs w:val="18"/>
        </w:rPr>
      </w:pPr>
      <w:r w:rsidRPr="00442EB2">
        <w:rPr>
          <w:rFonts w:cs="Tahoma"/>
          <w:color w:val="000000"/>
          <w:sz w:val="18"/>
          <w:szCs w:val="18"/>
        </w:rPr>
        <w:t xml:space="preserve">I presenti adempimenti trovano adozione nell’ambito dei lavori di importo </w:t>
      </w:r>
      <w:r>
        <w:rPr>
          <w:rFonts w:cs="Tahoma"/>
          <w:color w:val="000000"/>
          <w:sz w:val="18"/>
          <w:szCs w:val="18"/>
        </w:rPr>
        <w:t>inferiore a 40.000 di euro.</w:t>
      </w:r>
    </w:p>
    <w:p w:rsidR="0045521F" w:rsidRDefault="0045521F" w:rsidP="0045521F">
      <w:pPr>
        <w:spacing w:line="240" w:lineRule="auto"/>
      </w:pPr>
      <w:r>
        <w:rPr>
          <w:rFonts w:cs="Tahoma"/>
          <w:color w:val="000000"/>
          <w:sz w:val="18"/>
          <w:szCs w:val="18"/>
        </w:rPr>
        <w:t xml:space="preserve">Gli adempimenti previsti sono coerenti con la </w:t>
      </w:r>
      <w:r w:rsidR="007B0CE3">
        <w:rPr>
          <w:rFonts w:cs="Tahoma"/>
          <w:sz w:val="18"/>
          <w:szCs w:val="18"/>
          <w:lang w:val="de-DE"/>
        </w:rPr>
        <w:t>D</w:t>
      </w:r>
      <w:r w:rsidR="007B0CE3" w:rsidRPr="00374914">
        <w:rPr>
          <w:rFonts w:cs="Tahoma"/>
          <w:sz w:val="18"/>
          <w:szCs w:val="18"/>
          <w:lang w:val="de-DE"/>
        </w:rPr>
        <w:t xml:space="preserve">elibera </w:t>
      </w:r>
      <w:r w:rsidR="007B0CE3">
        <w:rPr>
          <w:rFonts w:cs="Tahoma"/>
          <w:sz w:val="18"/>
          <w:szCs w:val="18"/>
          <w:lang w:val="de-DE"/>
        </w:rPr>
        <w:t xml:space="preserve">ANAC </w:t>
      </w:r>
      <w:r w:rsidR="007B0CE3" w:rsidRPr="00374914">
        <w:rPr>
          <w:rFonts w:cs="Tahoma"/>
          <w:sz w:val="18"/>
          <w:szCs w:val="18"/>
          <w:lang w:val="de-DE"/>
        </w:rPr>
        <w:t>n. 1097, del 26 ottobre 2016</w:t>
      </w:r>
      <w:r w:rsidRPr="00E55C3E">
        <w:t xml:space="preserve"> </w:t>
      </w:r>
      <w:r>
        <w:rPr>
          <w:rFonts w:cs="Tahoma"/>
          <w:color w:val="000000"/>
          <w:sz w:val="18"/>
          <w:szCs w:val="18"/>
        </w:rPr>
        <w:t>Linee guida</w:t>
      </w:r>
      <w:r w:rsidR="007B0CE3">
        <w:rPr>
          <w:rFonts w:cs="Tahoma"/>
          <w:color w:val="000000"/>
          <w:sz w:val="18"/>
          <w:szCs w:val="18"/>
        </w:rPr>
        <w:t xml:space="preserve"> nr. 4</w:t>
      </w:r>
      <w:r>
        <w:rPr>
          <w:rFonts w:cs="Tahoma"/>
          <w:color w:val="000000"/>
          <w:sz w:val="18"/>
          <w:szCs w:val="18"/>
        </w:rPr>
        <w:t xml:space="preserve">: </w:t>
      </w:r>
      <w:r w:rsidRPr="00E55C3E">
        <w:rPr>
          <w:rFonts w:cs="Tahoma"/>
          <w:color w:val="000000"/>
          <w:sz w:val="18"/>
          <w:szCs w:val="18"/>
        </w:rPr>
        <w:t>Procedure per l’affidamento dei contratti pubblici di importo inferiore alle soglie di rilevanza comunitaria, indagini di mercato e formazione e gestione degli elenchi di operatori economici</w:t>
      </w:r>
    </w:p>
    <w:p w:rsidR="0045521F" w:rsidRPr="007D23B1" w:rsidRDefault="006D4C4B" w:rsidP="006D4C4B">
      <w:pPr>
        <w:spacing w:line="240" w:lineRule="auto"/>
      </w:pPr>
      <w:r w:rsidRPr="007D23B1">
        <w:rPr>
          <w:sz w:val="18"/>
          <w:szCs w:val="18"/>
        </w:rPr>
        <w:t xml:space="preserve">Ove non sono considerati riservati ai sensi dell'articolo 53 del D.lgs. 50/16, ovvero secretati ai sensi dell'articolo 162 del D.lgs. 50/2016, </w:t>
      </w:r>
      <w:r w:rsidRPr="007D23B1">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7D23B1">
        <w:rPr>
          <w:sz w:val="18"/>
          <w:szCs w:val="18"/>
        </w:rPr>
        <w:t xml:space="preserve"> </w:t>
      </w:r>
      <w:r w:rsidRPr="007D23B1">
        <w:rPr>
          <w:sz w:val="18"/>
          <w:szCs w:val="18"/>
          <w:u w:val="single"/>
        </w:rPr>
        <w:t>devono essere pubblicati e aggiornati sul profilo del committente, nella sezione "</w:t>
      </w:r>
      <w:r w:rsidRPr="007D23B1">
        <w:rPr>
          <w:b/>
          <w:sz w:val="18"/>
          <w:szCs w:val="18"/>
          <w:u w:val="single"/>
        </w:rPr>
        <w:t>Amministrazione trasparente</w:t>
      </w:r>
      <w:r w:rsidRPr="007D23B1">
        <w:rPr>
          <w:sz w:val="18"/>
          <w:szCs w:val="18"/>
          <w:u w:val="single"/>
        </w:rPr>
        <w:t>"</w:t>
      </w:r>
      <w:r w:rsidRPr="007D23B1">
        <w:rPr>
          <w:sz w:val="18"/>
          <w:szCs w:val="18"/>
        </w:rPr>
        <w:t>, con l'applicazione delle disposizioni di cui al decreto legislativo 14 marzo 2013, n. 33 (art. 29, comma 1, D.lgs. 50/2016).</w:t>
      </w:r>
    </w:p>
    <w:p w:rsidR="006D4C4B" w:rsidRDefault="006D4C4B"/>
    <w:tbl>
      <w:tblPr>
        <w:tblW w:w="50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1"/>
        <w:gridCol w:w="5341"/>
        <w:gridCol w:w="2001"/>
        <w:gridCol w:w="736"/>
        <w:gridCol w:w="739"/>
        <w:gridCol w:w="748"/>
        <w:gridCol w:w="1258"/>
        <w:gridCol w:w="2604"/>
      </w:tblGrid>
      <w:tr w:rsidR="00881A7E">
        <w:trPr>
          <w:trHeight w:val="567"/>
          <w:tblHeader/>
          <w:jc w:val="center"/>
        </w:trPr>
        <w:tc>
          <w:tcPr>
            <w:tcW w:w="369" w:type="pct"/>
            <w:vAlign w:val="center"/>
          </w:tcPr>
          <w:p w:rsidR="00881A7E" w:rsidRPr="00617D19" w:rsidRDefault="00881A7E" w:rsidP="00A64793">
            <w:pPr>
              <w:spacing w:line="240" w:lineRule="auto"/>
              <w:jc w:val="center"/>
              <w:rPr>
                <w:rFonts w:cs="Tahoma"/>
                <w:b/>
                <w:bCs/>
                <w:sz w:val="18"/>
              </w:rPr>
            </w:pPr>
            <w:r w:rsidRPr="00617D19">
              <w:rPr>
                <w:rFonts w:cs="Tahoma"/>
                <w:b/>
                <w:bCs/>
                <w:sz w:val="18"/>
              </w:rPr>
              <w:t>N.</w:t>
            </w:r>
          </w:p>
        </w:tc>
        <w:tc>
          <w:tcPr>
            <w:tcW w:w="1842" w:type="pct"/>
            <w:vAlign w:val="center"/>
          </w:tcPr>
          <w:p w:rsidR="00881A7E" w:rsidRPr="008949B6" w:rsidRDefault="00881A7E" w:rsidP="00A64793">
            <w:pPr>
              <w:spacing w:line="240" w:lineRule="auto"/>
              <w:jc w:val="center"/>
              <w:rPr>
                <w:rFonts w:cs="Tahoma"/>
                <w:b/>
                <w:bCs/>
                <w:sz w:val="18"/>
                <w:szCs w:val="18"/>
              </w:rPr>
            </w:pPr>
            <w:r w:rsidRPr="008949B6">
              <w:rPr>
                <w:rFonts w:cs="Tahoma"/>
                <w:b/>
                <w:bCs/>
                <w:sz w:val="18"/>
                <w:szCs w:val="18"/>
              </w:rPr>
              <w:t>ADEMPIMENTO PREVISTO</w:t>
            </w:r>
          </w:p>
        </w:tc>
        <w:tc>
          <w:tcPr>
            <w:tcW w:w="690" w:type="pct"/>
            <w:vAlign w:val="center"/>
          </w:tcPr>
          <w:p w:rsidR="00881A7E" w:rsidRPr="006F78DE" w:rsidRDefault="00881A7E" w:rsidP="00A64793">
            <w:pPr>
              <w:spacing w:line="240" w:lineRule="auto"/>
              <w:jc w:val="center"/>
              <w:rPr>
                <w:rFonts w:cs="Tahoma"/>
                <w:b/>
                <w:bCs/>
                <w:sz w:val="18"/>
                <w:szCs w:val="18"/>
              </w:rPr>
            </w:pPr>
            <w:r w:rsidRPr="006F78DE">
              <w:rPr>
                <w:rFonts w:cs="Tahoma"/>
                <w:b/>
                <w:bCs/>
                <w:sz w:val="18"/>
                <w:szCs w:val="18"/>
              </w:rPr>
              <w:t>RIFERIMENTI NORMATIVI</w:t>
            </w:r>
          </w:p>
        </w:tc>
        <w:tc>
          <w:tcPr>
            <w:tcW w:w="254" w:type="pct"/>
            <w:vAlign w:val="center"/>
          </w:tcPr>
          <w:p w:rsidR="00881A7E" w:rsidRDefault="00881A7E" w:rsidP="00A64793">
            <w:pPr>
              <w:spacing w:line="240" w:lineRule="auto"/>
              <w:jc w:val="center"/>
              <w:rPr>
                <w:rFonts w:cs="Tahoma"/>
                <w:b/>
                <w:bCs/>
                <w:sz w:val="18"/>
              </w:rPr>
            </w:pPr>
            <w:r>
              <w:rPr>
                <w:rFonts w:cs="Tahoma"/>
                <w:b/>
                <w:bCs/>
                <w:sz w:val="18"/>
              </w:rPr>
              <w:t>SI</w:t>
            </w:r>
          </w:p>
        </w:tc>
        <w:tc>
          <w:tcPr>
            <w:tcW w:w="255" w:type="pct"/>
            <w:vAlign w:val="center"/>
          </w:tcPr>
          <w:p w:rsidR="00881A7E" w:rsidRDefault="00881A7E" w:rsidP="00A64793">
            <w:pPr>
              <w:pStyle w:val="Heading5"/>
            </w:pPr>
            <w:r>
              <w:t>NO</w:t>
            </w:r>
          </w:p>
        </w:tc>
        <w:tc>
          <w:tcPr>
            <w:tcW w:w="258" w:type="pct"/>
            <w:tcBorders>
              <w:bottom w:val="single" w:sz="4" w:space="0" w:color="auto"/>
            </w:tcBorders>
            <w:vAlign w:val="center"/>
          </w:tcPr>
          <w:p w:rsidR="00881A7E" w:rsidRDefault="00881A7E" w:rsidP="00A64793">
            <w:pPr>
              <w:pStyle w:val="Heading5"/>
            </w:pPr>
            <w:r>
              <w:t>N/P</w:t>
            </w:r>
            <w:r>
              <w:rPr>
                <w:rStyle w:val="FootnoteReference"/>
                <w:rFonts w:cs="Tahoma"/>
              </w:rPr>
              <w:footnoteReference w:id="1"/>
            </w:r>
          </w:p>
        </w:tc>
        <w:tc>
          <w:tcPr>
            <w:tcW w:w="434" w:type="pct"/>
            <w:vAlign w:val="center"/>
          </w:tcPr>
          <w:p w:rsidR="00881A7E" w:rsidRDefault="00881A7E" w:rsidP="00A64793">
            <w:pPr>
              <w:spacing w:line="240" w:lineRule="auto"/>
              <w:jc w:val="center"/>
              <w:rPr>
                <w:rFonts w:cs="Tahoma"/>
                <w:b/>
                <w:bCs/>
                <w:sz w:val="18"/>
              </w:rPr>
            </w:pPr>
            <w:r>
              <w:rPr>
                <w:rFonts w:cs="Tahoma"/>
                <w:b/>
                <w:bCs/>
                <w:sz w:val="18"/>
              </w:rPr>
              <w:t>DATA</w:t>
            </w:r>
          </w:p>
        </w:tc>
        <w:tc>
          <w:tcPr>
            <w:tcW w:w="898" w:type="pct"/>
            <w:vAlign w:val="center"/>
          </w:tcPr>
          <w:p w:rsidR="00881A7E" w:rsidRDefault="00881A7E" w:rsidP="00A64793">
            <w:pPr>
              <w:spacing w:line="240" w:lineRule="auto"/>
              <w:jc w:val="center"/>
              <w:rPr>
                <w:rFonts w:cs="Tahoma"/>
                <w:b/>
                <w:bCs/>
                <w:sz w:val="18"/>
              </w:rPr>
            </w:pPr>
            <w:r>
              <w:rPr>
                <w:rFonts w:cs="Tahoma"/>
                <w:b/>
                <w:bCs/>
                <w:sz w:val="18"/>
              </w:rPr>
              <w:t>NOTE</w:t>
            </w: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1.</w:t>
            </w:r>
          </w:p>
        </w:tc>
        <w:tc>
          <w:tcPr>
            <w:tcW w:w="1842" w:type="pct"/>
            <w:vAlign w:val="center"/>
          </w:tcPr>
          <w:p w:rsidR="007B0CE3" w:rsidRPr="00E54D9E" w:rsidRDefault="007B0CE3" w:rsidP="007B0CE3">
            <w:pPr>
              <w:pStyle w:val="BodyText2"/>
              <w:jc w:val="both"/>
              <w:rPr>
                <w:color w:val="000000"/>
                <w:sz w:val="18"/>
                <w:szCs w:val="18"/>
              </w:rPr>
            </w:pPr>
            <w:r w:rsidRPr="00F40B1A">
              <w:rPr>
                <w:color w:val="000000"/>
                <w:sz w:val="18"/>
                <w:szCs w:val="18"/>
              </w:rPr>
              <w:t xml:space="preserve">Per </w:t>
            </w:r>
            <w:r>
              <w:rPr>
                <w:color w:val="000000"/>
                <w:sz w:val="18"/>
                <w:szCs w:val="18"/>
              </w:rPr>
              <w:t>individuare il fornitore da invitare alla gara</w:t>
            </w:r>
            <w:r w:rsidRPr="00E54D9E">
              <w:rPr>
                <w:color w:val="000000"/>
                <w:sz w:val="18"/>
                <w:szCs w:val="18"/>
              </w:rPr>
              <w:t>:</w:t>
            </w:r>
          </w:p>
        </w:tc>
        <w:tc>
          <w:tcPr>
            <w:tcW w:w="690" w:type="pct"/>
            <w:vAlign w:val="center"/>
          </w:tcPr>
          <w:p w:rsidR="007B0CE3" w:rsidRPr="00875FE2" w:rsidRDefault="007B0CE3" w:rsidP="007B0CE3">
            <w:pPr>
              <w:spacing w:line="240" w:lineRule="auto"/>
              <w:jc w:val="left"/>
              <w:rPr>
                <w:rFonts w:cs="Tahoma"/>
                <w:sz w:val="18"/>
                <w:szCs w:val="18"/>
              </w:rPr>
            </w:pPr>
          </w:p>
        </w:tc>
        <w:tc>
          <w:tcPr>
            <w:tcW w:w="254" w:type="pct"/>
            <w:vAlign w:val="center"/>
          </w:tcPr>
          <w:p w:rsidR="007B0CE3" w:rsidRDefault="007B0CE3" w:rsidP="007B0CE3">
            <w:pPr>
              <w:spacing w:line="240" w:lineRule="auto"/>
              <w:jc w:val="left"/>
              <w:rPr>
                <w:rFonts w:cs="Tahoma"/>
                <w:sz w:val="18"/>
              </w:rPr>
            </w:pPr>
          </w:p>
        </w:tc>
        <w:tc>
          <w:tcPr>
            <w:tcW w:w="255" w:type="pct"/>
            <w:tcBorders>
              <w:right w:val="single" w:sz="4" w:space="0" w:color="auto"/>
            </w:tcBorders>
            <w:vAlign w:val="center"/>
          </w:tcPr>
          <w:p w:rsidR="007B0CE3" w:rsidRDefault="007B0CE3" w:rsidP="007B0CE3">
            <w:pPr>
              <w:spacing w:line="240" w:lineRule="auto"/>
              <w:jc w:val="left"/>
              <w:rPr>
                <w:rFonts w:cs="Tahoma"/>
                <w:sz w:val="18"/>
              </w:rPr>
            </w:pPr>
          </w:p>
        </w:tc>
        <w:tc>
          <w:tcPr>
            <w:tcW w:w="2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B0CE3" w:rsidRDefault="007B0CE3" w:rsidP="007B0CE3">
            <w:pPr>
              <w:spacing w:line="240" w:lineRule="auto"/>
              <w:jc w:val="left"/>
              <w:rPr>
                <w:rFonts w:cs="Tahoma"/>
                <w:sz w:val="18"/>
              </w:rPr>
            </w:pPr>
          </w:p>
        </w:tc>
        <w:tc>
          <w:tcPr>
            <w:tcW w:w="434" w:type="pct"/>
            <w:tcBorders>
              <w:top w:val="single" w:sz="2" w:space="0" w:color="auto"/>
              <w:left w:val="single" w:sz="4" w:space="0" w:color="auto"/>
              <w:bottom w:val="single" w:sz="2" w:space="0" w:color="auto"/>
              <w:right w:val="single" w:sz="2" w:space="0" w:color="auto"/>
            </w:tcBorders>
            <w:vAlign w:val="center"/>
          </w:tcPr>
          <w:p w:rsidR="007B0CE3" w:rsidRDefault="007B0CE3" w:rsidP="007B0CE3">
            <w:pPr>
              <w:spacing w:line="240" w:lineRule="auto"/>
              <w:jc w:val="left"/>
              <w:rPr>
                <w:rFonts w:cs="Tahoma"/>
                <w:sz w:val="18"/>
              </w:rPr>
            </w:pPr>
          </w:p>
        </w:tc>
        <w:tc>
          <w:tcPr>
            <w:tcW w:w="898" w:type="pct"/>
            <w:tcBorders>
              <w:left w:val="single" w:sz="2" w:space="0" w:color="auto"/>
            </w:tcBorders>
            <w:vAlign w:val="center"/>
          </w:tcPr>
          <w:p w:rsidR="007B0CE3" w:rsidRDefault="007B0CE3" w:rsidP="007B0CE3">
            <w:pPr>
              <w:spacing w:line="240" w:lineRule="auto"/>
              <w:jc w:val="left"/>
              <w:rPr>
                <w:rFonts w:cs="Tahoma"/>
                <w:sz w:val="18"/>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1.a.</w:t>
            </w:r>
          </w:p>
        </w:tc>
        <w:tc>
          <w:tcPr>
            <w:tcW w:w="1842" w:type="pct"/>
            <w:vAlign w:val="center"/>
          </w:tcPr>
          <w:p w:rsidR="007B0CE3" w:rsidRPr="00E54D9E" w:rsidRDefault="007B0CE3" w:rsidP="007B0CE3">
            <w:pPr>
              <w:pStyle w:val="BodyText2"/>
              <w:numPr>
                <w:ilvl w:val="0"/>
                <w:numId w:val="15"/>
              </w:numPr>
              <w:jc w:val="both"/>
              <w:rPr>
                <w:color w:val="000000"/>
                <w:sz w:val="18"/>
                <w:szCs w:val="18"/>
              </w:rPr>
            </w:pPr>
            <w:r w:rsidRPr="00E54D9E">
              <w:rPr>
                <w:color w:val="000000"/>
                <w:sz w:val="18"/>
                <w:szCs w:val="18"/>
              </w:rPr>
              <w:t>indagine di mercato eventualmente distinta per fascia di importo</w:t>
            </w:r>
          </w:p>
        </w:tc>
        <w:tc>
          <w:tcPr>
            <w:tcW w:w="690" w:type="pct"/>
            <w:vMerge w:val="restart"/>
            <w:vAlign w:val="center"/>
          </w:tcPr>
          <w:p w:rsidR="007B0CE3" w:rsidRPr="00875FE2" w:rsidRDefault="007B0CE3" w:rsidP="007B0CE3">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E54D9E">
              <w:rPr>
                <w:rFonts w:cs="Tahoma"/>
                <w:sz w:val="18"/>
                <w:szCs w:val="18"/>
              </w:rPr>
              <w:t>, punto 4.1</w:t>
            </w:r>
          </w:p>
        </w:tc>
        <w:tc>
          <w:tcPr>
            <w:tcW w:w="254" w:type="pct"/>
            <w:vAlign w:val="center"/>
          </w:tcPr>
          <w:p w:rsidR="007B0CE3" w:rsidRDefault="007B0CE3" w:rsidP="007B0CE3">
            <w:pPr>
              <w:spacing w:line="240" w:lineRule="auto"/>
              <w:jc w:val="left"/>
              <w:rPr>
                <w:rFonts w:cs="Tahoma"/>
                <w:sz w:val="18"/>
              </w:rPr>
            </w:pPr>
          </w:p>
        </w:tc>
        <w:tc>
          <w:tcPr>
            <w:tcW w:w="255" w:type="pct"/>
            <w:tcBorders>
              <w:right w:val="single" w:sz="4" w:space="0" w:color="auto"/>
            </w:tcBorders>
            <w:vAlign w:val="center"/>
          </w:tcPr>
          <w:p w:rsidR="007B0CE3" w:rsidRDefault="007B0CE3" w:rsidP="007B0CE3">
            <w:pPr>
              <w:spacing w:line="240" w:lineRule="auto"/>
              <w:jc w:val="left"/>
              <w:rPr>
                <w:rFonts w:cs="Tahoma"/>
                <w:sz w:val="18"/>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rsidR="007B0CE3" w:rsidRDefault="007B0CE3" w:rsidP="007B0CE3">
            <w:pPr>
              <w:spacing w:line="240" w:lineRule="auto"/>
              <w:jc w:val="left"/>
              <w:rPr>
                <w:rFonts w:cs="Tahoma"/>
                <w:sz w:val="18"/>
              </w:rPr>
            </w:pPr>
          </w:p>
        </w:tc>
        <w:tc>
          <w:tcPr>
            <w:tcW w:w="434" w:type="pct"/>
            <w:tcBorders>
              <w:top w:val="single" w:sz="2" w:space="0" w:color="auto"/>
              <w:left w:val="single" w:sz="4" w:space="0" w:color="auto"/>
              <w:bottom w:val="single" w:sz="2" w:space="0" w:color="auto"/>
              <w:right w:val="single" w:sz="2" w:space="0" w:color="auto"/>
            </w:tcBorders>
            <w:vAlign w:val="center"/>
          </w:tcPr>
          <w:p w:rsidR="007B0CE3" w:rsidRDefault="007B0CE3" w:rsidP="007B0CE3">
            <w:pPr>
              <w:spacing w:line="240" w:lineRule="auto"/>
              <w:jc w:val="left"/>
              <w:rPr>
                <w:rFonts w:cs="Tahoma"/>
                <w:sz w:val="18"/>
              </w:rPr>
            </w:pPr>
          </w:p>
        </w:tc>
        <w:tc>
          <w:tcPr>
            <w:tcW w:w="898" w:type="pct"/>
            <w:tcBorders>
              <w:left w:val="single" w:sz="2" w:space="0" w:color="auto"/>
            </w:tcBorders>
            <w:vAlign w:val="center"/>
          </w:tcPr>
          <w:p w:rsidR="007B0CE3" w:rsidRDefault="007B0CE3" w:rsidP="007B0CE3">
            <w:pPr>
              <w:spacing w:line="240" w:lineRule="auto"/>
              <w:jc w:val="left"/>
              <w:rPr>
                <w:rFonts w:cs="Tahoma"/>
                <w:sz w:val="18"/>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1.b.</w:t>
            </w:r>
          </w:p>
        </w:tc>
        <w:tc>
          <w:tcPr>
            <w:tcW w:w="1842" w:type="pct"/>
            <w:vAlign w:val="center"/>
          </w:tcPr>
          <w:p w:rsidR="007B0CE3" w:rsidRPr="00E54D9E" w:rsidRDefault="007B0CE3" w:rsidP="007B0CE3">
            <w:pPr>
              <w:pStyle w:val="BodyText2"/>
              <w:numPr>
                <w:ilvl w:val="0"/>
                <w:numId w:val="15"/>
              </w:numPr>
              <w:jc w:val="both"/>
              <w:rPr>
                <w:color w:val="000000"/>
                <w:sz w:val="18"/>
                <w:szCs w:val="18"/>
              </w:rPr>
            </w:pPr>
            <w:r w:rsidRPr="00E54D9E">
              <w:rPr>
                <w:color w:val="000000"/>
                <w:sz w:val="18"/>
                <w:szCs w:val="18"/>
              </w:rPr>
              <w:t>costituzione dell’elenco d</w:t>
            </w:r>
            <w:r>
              <w:rPr>
                <w:color w:val="000000"/>
                <w:sz w:val="18"/>
                <w:szCs w:val="18"/>
              </w:rPr>
              <w:t xml:space="preserve">ei </w:t>
            </w:r>
            <w:r w:rsidRPr="00E54D9E">
              <w:rPr>
                <w:color w:val="000000"/>
                <w:sz w:val="18"/>
                <w:szCs w:val="18"/>
              </w:rPr>
              <w:t>fornitori</w:t>
            </w:r>
            <w:r>
              <w:rPr>
                <w:color w:val="000000"/>
                <w:sz w:val="18"/>
                <w:szCs w:val="18"/>
              </w:rPr>
              <w:t xml:space="preserve"> eventualmente distinti per categoria e fascia d’importo</w:t>
            </w:r>
          </w:p>
        </w:tc>
        <w:tc>
          <w:tcPr>
            <w:tcW w:w="690" w:type="pct"/>
            <w:vMerge/>
            <w:vAlign w:val="center"/>
          </w:tcPr>
          <w:p w:rsidR="007B0CE3" w:rsidRPr="00875FE2" w:rsidRDefault="007B0CE3" w:rsidP="007B0CE3">
            <w:pPr>
              <w:spacing w:line="240" w:lineRule="auto"/>
              <w:jc w:val="left"/>
              <w:rPr>
                <w:rFonts w:cs="Tahoma"/>
                <w:sz w:val="18"/>
                <w:szCs w:val="18"/>
              </w:rPr>
            </w:pPr>
          </w:p>
        </w:tc>
        <w:tc>
          <w:tcPr>
            <w:tcW w:w="254" w:type="pct"/>
            <w:vAlign w:val="center"/>
          </w:tcPr>
          <w:p w:rsidR="007B0CE3" w:rsidRDefault="007B0CE3" w:rsidP="007B0CE3">
            <w:pPr>
              <w:spacing w:line="240" w:lineRule="auto"/>
              <w:jc w:val="left"/>
              <w:rPr>
                <w:rFonts w:cs="Tahoma"/>
                <w:sz w:val="18"/>
              </w:rPr>
            </w:pPr>
          </w:p>
        </w:tc>
        <w:tc>
          <w:tcPr>
            <w:tcW w:w="255" w:type="pct"/>
            <w:tcBorders>
              <w:right w:val="single" w:sz="4" w:space="0" w:color="auto"/>
            </w:tcBorders>
            <w:vAlign w:val="center"/>
          </w:tcPr>
          <w:p w:rsidR="007B0CE3" w:rsidRDefault="007B0CE3" w:rsidP="007B0CE3">
            <w:pPr>
              <w:spacing w:line="240" w:lineRule="auto"/>
              <w:jc w:val="left"/>
              <w:rPr>
                <w:rFonts w:cs="Tahoma"/>
                <w:sz w:val="18"/>
              </w:rPr>
            </w:pPr>
          </w:p>
        </w:tc>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rsidR="007B0CE3" w:rsidRDefault="007B0CE3" w:rsidP="007B0CE3">
            <w:pPr>
              <w:spacing w:line="240" w:lineRule="auto"/>
              <w:jc w:val="left"/>
              <w:rPr>
                <w:rFonts w:cs="Tahoma"/>
                <w:sz w:val="18"/>
              </w:rPr>
            </w:pPr>
          </w:p>
        </w:tc>
        <w:tc>
          <w:tcPr>
            <w:tcW w:w="434" w:type="pct"/>
            <w:tcBorders>
              <w:top w:val="single" w:sz="2" w:space="0" w:color="auto"/>
              <w:left w:val="single" w:sz="4" w:space="0" w:color="auto"/>
              <w:bottom w:val="single" w:sz="2" w:space="0" w:color="auto"/>
              <w:right w:val="single" w:sz="2" w:space="0" w:color="auto"/>
            </w:tcBorders>
            <w:vAlign w:val="center"/>
          </w:tcPr>
          <w:p w:rsidR="007B0CE3" w:rsidRDefault="007B0CE3" w:rsidP="007B0CE3">
            <w:pPr>
              <w:spacing w:line="240" w:lineRule="auto"/>
              <w:jc w:val="left"/>
              <w:rPr>
                <w:rFonts w:cs="Tahoma"/>
                <w:sz w:val="18"/>
              </w:rPr>
            </w:pPr>
          </w:p>
        </w:tc>
        <w:tc>
          <w:tcPr>
            <w:tcW w:w="898" w:type="pct"/>
            <w:tcBorders>
              <w:left w:val="single" w:sz="2" w:space="0" w:color="auto"/>
            </w:tcBorders>
            <w:vAlign w:val="center"/>
          </w:tcPr>
          <w:p w:rsidR="007B0CE3" w:rsidRDefault="007B0CE3" w:rsidP="007B0CE3">
            <w:pPr>
              <w:spacing w:line="240" w:lineRule="auto"/>
              <w:jc w:val="left"/>
              <w:rPr>
                <w:rFonts w:cs="Tahoma"/>
                <w:sz w:val="18"/>
              </w:rPr>
            </w:pPr>
          </w:p>
        </w:tc>
      </w:tr>
    </w:tbl>
    <w:p w:rsidR="007B0CE3" w:rsidRDefault="007B0CE3">
      <w:r>
        <w:br w:type="page"/>
      </w:r>
    </w:p>
    <w:tbl>
      <w:tblPr>
        <w:tblW w:w="50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71"/>
        <w:gridCol w:w="5341"/>
        <w:gridCol w:w="2001"/>
        <w:gridCol w:w="736"/>
        <w:gridCol w:w="739"/>
        <w:gridCol w:w="748"/>
        <w:gridCol w:w="1258"/>
        <w:gridCol w:w="2604"/>
      </w:tblGrid>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lastRenderedPageBreak/>
              <w:t>2</w:t>
            </w:r>
            <w:r w:rsidRPr="00617D19">
              <w:rPr>
                <w:rFonts w:cs="Tahoma"/>
                <w:sz w:val="18"/>
              </w:rPr>
              <w:t>.</w:t>
            </w:r>
          </w:p>
        </w:tc>
        <w:tc>
          <w:tcPr>
            <w:tcW w:w="1842" w:type="pct"/>
            <w:vAlign w:val="center"/>
          </w:tcPr>
          <w:p w:rsidR="007B0CE3" w:rsidRPr="00515EB8" w:rsidRDefault="007B0CE3" w:rsidP="007B0CE3">
            <w:pPr>
              <w:pStyle w:val="BodyText2"/>
              <w:jc w:val="both"/>
              <w:rPr>
                <w:sz w:val="18"/>
                <w:szCs w:val="18"/>
              </w:rPr>
            </w:pPr>
            <w:r>
              <w:rPr>
                <w:sz w:val="18"/>
                <w:szCs w:val="18"/>
              </w:rPr>
              <w:t>D</w:t>
            </w:r>
            <w:r w:rsidRPr="00F7092C">
              <w:rPr>
                <w:sz w:val="18"/>
                <w:szCs w:val="18"/>
              </w:rPr>
              <w:t>etermina a contrarre ovvero atto a</w:t>
            </w:r>
            <w:r>
              <w:rPr>
                <w:sz w:val="18"/>
                <w:szCs w:val="18"/>
              </w:rPr>
              <w:t>d</w:t>
            </w:r>
            <w:r w:rsidRPr="00F7092C">
              <w:rPr>
                <w:sz w:val="18"/>
                <w:szCs w:val="18"/>
              </w:rPr>
              <w:t xml:space="preserve"> essa equivalente secondo l’ordinamento della singola stazione appaltante</w:t>
            </w:r>
            <w:r>
              <w:rPr>
                <w:sz w:val="18"/>
                <w:szCs w:val="18"/>
              </w:rPr>
              <w:t xml:space="preserve">, </w:t>
            </w:r>
            <w:r w:rsidRPr="00881A7E">
              <w:rPr>
                <w:sz w:val="18"/>
                <w:szCs w:val="18"/>
              </w:rPr>
              <w:t>che in applicazione dei principi di imparzialità, parità di trattamento, trasparenza, contiene, almeno, l’indicazione dell’interesse pubblico che si intende soddisfare, le caratteristiche delle opere/beni/servizi che si intendono conseguire, i criteri per la selezione degli operatori economici e delle offerte; l’importo massimo stimato dell’affidamento e la relativa copertura contabile, nonché le principali condizioni contrattuali</w:t>
            </w:r>
            <w:r>
              <w:rPr>
                <w:sz w:val="18"/>
                <w:szCs w:val="18"/>
              </w:rPr>
              <w:t>.</w:t>
            </w:r>
          </w:p>
        </w:tc>
        <w:tc>
          <w:tcPr>
            <w:tcW w:w="690" w:type="pct"/>
            <w:vAlign w:val="center"/>
          </w:tcPr>
          <w:p w:rsidR="007B0CE3" w:rsidRDefault="007B0CE3" w:rsidP="007B0CE3">
            <w:pPr>
              <w:spacing w:line="240" w:lineRule="auto"/>
              <w:jc w:val="left"/>
              <w:rPr>
                <w:rFonts w:cs="Tahoma"/>
                <w:sz w:val="18"/>
                <w:szCs w:val="18"/>
                <w:lang w:val="de-DE"/>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E54D9E">
              <w:rPr>
                <w:rFonts w:cs="Tahoma"/>
                <w:sz w:val="18"/>
                <w:szCs w:val="18"/>
              </w:rPr>
              <w:t xml:space="preserve">, punto </w:t>
            </w:r>
            <w:r>
              <w:rPr>
                <w:rFonts w:cs="Tahoma"/>
                <w:sz w:val="18"/>
                <w:szCs w:val="18"/>
              </w:rPr>
              <w:t>3.1.2</w:t>
            </w:r>
          </w:p>
        </w:tc>
        <w:tc>
          <w:tcPr>
            <w:tcW w:w="254" w:type="pct"/>
            <w:vAlign w:val="center"/>
          </w:tcPr>
          <w:p w:rsidR="007B0CE3"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7B0CE3" w:rsidRDefault="007B0CE3" w:rsidP="007B0CE3">
            <w:pPr>
              <w:spacing w:line="240" w:lineRule="auto"/>
              <w:jc w:val="left"/>
              <w:rPr>
                <w:rFonts w:cs="Tahoma"/>
                <w:sz w:val="18"/>
                <w:lang w:val="de-DE"/>
              </w:rPr>
            </w:pPr>
          </w:p>
        </w:tc>
        <w:tc>
          <w:tcPr>
            <w:tcW w:w="434" w:type="pct"/>
            <w:tcBorders>
              <w:top w:val="single" w:sz="2" w:space="0" w:color="auto"/>
              <w:left w:val="single" w:sz="2" w:space="0" w:color="auto"/>
            </w:tcBorders>
            <w:vAlign w:val="center"/>
          </w:tcPr>
          <w:p w:rsidR="007B0CE3" w:rsidRDefault="007B0CE3" w:rsidP="007B0CE3">
            <w:pPr>
              <w:spacing w:line="240" w:lineRule="auto"/>
              <w:jc w:val="left"/>
              <w:rPr>
                <w:rFonts w:cs="Tahoma"/>
                <w:sz w:val="18"/>
                <w:lang w:val="de-DE"/>
              </w:rPr>
            </w:pPr>
          </w:p>
        </w:tc>
        <w:tc>
          <w:tcPr>
            <w:tcW w:w="898" w:type="pct"/>
            <w:vAlign w:val="center"/>
          </w:tcPr>
          <w:p w:rsidR="007B0CE3" w:rsidRDefault="007B0CE3" w:rsidP="007B0CE3">
            <w:pPr>
              <w:spacing w:line="240" w:lineRule="auto"/>
              <w:jc w:val="left"/>
              <w:rPr>
                <w:rFonts w:cs="Tahoma"/>
                <w:sz w:val="18"/>
                <w:lang w:val="de-DE"/>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2.a.</w:t>
            </w:r>
          </w:p>
        </w:tc>
        <w:tc>
          <w:tcPr>
            <w:tcW w:w="1842" w:type="pct"/>
            <w:vAlign w:val="center"/>
          </w:tcPr>
          <w:p w:rsidR="007B0CE3" w:rsidRDefault="007B0CE3" w:rsidP="007B0CE3">
            <w:pPr>
              <w:pStyle w:val="BodyText2"/>
              <w:jc w:val="both"/>
              <w:rPr>
                <w:sz w:val="18"/>
                <w:szCs w:val="18"/>
              </w:rPr>
            </w:pPr>
            <w:r w:rsidRPr="00881A7E">
              <w:rPr>
                <w:sz w:val="18"/>
                <w:szCs w:val="18"/>
              </w:rPr>
              <w:t>In determinate situazioni, come nel caso dell’ordine diretto di acquisto sul mercato elettronico o di acquisti di modico valore per i quali sono certi il nominativo del fornitore e l’importo della fornitura, si può procedere a una determina a contrarre o atto equivalente che contenga, in modo semplificato, l’oggetto dell’affidamento, l’importo, il fornitore, le ragioni della scelta e il possesso dei requisiti di carattere generale</w:t>
            </w:r>
            <w:r>
              <w:rPr>
                <w:sz w:val="18"/>
                <w:szCs w:val="18"/>
              </w:rPr>
              <w:t>.</w:t>
            </w:r>
          </w:p>
        </w:tc>
        <w:tc>
          <w:tcPr>
            <w:tcW w:w="690" w:type="pct"/>
            <w:vAlign w:val="center"/>
          </w:tcPr>
          <w:p w:rsidR="007B0CE3" w:rsidRPr="00004B0C" w:rsidRDefault="007B0CE3" w:rsidP="007B0CE3">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E54D9E">
              <w:rPr>
                <w:rFonts w:cs="Tahoma"/>
                <w:sz w:val="18"/>
                <w:szCs w:val="18"/>
              </w:rPr>
              <w:t xml:space="preserve">, punto </w:t>
            </w:r>
            <w:r>
              <w:rPr>
                <w:rFonts w:cs="Tahoma"/>
                <w:sz w:val="18"/>
                <w:szCs w:val="18"/>
              </w:rPr>
              <w:t>3.1.3</w:t>
            </w:r>
          </w:p>
        </w:tc>
        <w:tc>
          <w:tcPr>
            <w:tcW w:w="254" w:type="pct"/>
            <w:vAlign w:val="center"/>
          </w:tcPr>
          <w:p w:rsidR="007B0CE3"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7B0CE3"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Default="007B0CE3" w:rsidP="007B0CE3">
            <w:pPr>
              <w:spacing w:line="240" w:lineRule="auto"/>
              <w:jc w:val="left"/>
              <w:rPr>
                <w:rFonts w:cs="Tahoma"/>
                <w:sz w:val="18"/>
                <w:lang w:val="de-DE"/>
              </w:rPr>
            </w:pPr>
          </w:p>
        </w:tc>
        <w:tc>
          <w:tcPr>
            <w:tcW w:w="898" w:type="pct"/>
            <w:vAlign w:val="center"/>
          </w:tcPr>
          <w:p w:rsidR="007B0CE3" w:rsidRDefault="007B0CE3" w:rsidP="007B0CE3">
            <w:pPr>
              <w:spacing w:line="240" w:lineRule="auto"/>
              <w:jc w:val="left"/>
              <w:rPr>
                <w:rFonts w:cs="Tahoma"/>
                <w:sz w:val="18"/>
                <w:lang w:val="de-DE"/>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3.</w:t>
            </w:r>
          </w:p>
        </w:tc>
        <w:tc>
          <w:tcPr>
            <w:tcW w:w="1842" w:type="pct"/>
            <w:vAlign w:val="center"/>
          </w:tcPr>
          <w:p w:rsidR="007B0CE3" w:rsidRDefault="007B0CE3" w:rsidP="007B0CE3">
            <w:pPr>
              <w:pStyle w:val="BodyText2"/>
              <w:jc w:val="both"/>
              <w:rPr>
                <w:sz w:val="18"/>
                <w:szCs w:val="18"/>
              </w:rPr>
            </w:pPr>
            <w:r>
              <w:rPr>
                <w:sz w:val="18"/>
                <w:szCs w:val="18"/>
              </w:rPr>
              <w:t>O</w:t>
            </w:r>
            <w:r w:rsidRPr="00881A7E">
              <w:rPr>
                <w:sz w:val="18"/>
                <w:szCs w:val="18"/>
              </w:rPr>
              <w:t>ttemperanza agli obblighi di motivazione del provvedimento amministrativo e al fine di assicurare la massima trasparenza</w:t>
            </w:r>
            <w:r>
              <w:rPr>
                <w:sz w:val="18"/>
                <w:szCs w:val="18"/>
              </w:rPr>
              <w:t>. L</w:t>
            </w:r>
            <w:r w:rsidRPr="00881A7E">
              <w:rPr>
                <w:sz w:val="18"/>
                <w:szCs w:val="18"/>
              </w:rPr>
              <w:t>a stazione appaltante motiva adeguatamente in merito alla scelta della procedura seguita e dell’aggiudicatario, dando dettagliatamente conto del possesso da parte dell’operatore economico selezionato dei requisiti richiesti nella determina a contrarre o nell’atto ad essa equivalente, della rispondenza di quanto offerto all’interesse pubblico che la stazione appaltante deve soddisfare, di eventuali caratteristiche migliorative offerte dal contraente, della congruità del prezzo in rapporto alla qualità della prestazione, nonché del rispetto del principio di rotazione</w:t>
            </w:r>
            <w:r>
              <w:rPr>
                <w:sz w:val="18"/>
                <w:szCs w:val="18"/>
              </w:rPr>
              <w:t>.</w:t>
            </w:r>
          </w:p>
        </w:tc>
        <w:tc>
          <w:tcPr>
            <w:tcW w:w="690" w:type="pct"/>
            <w:vAlign w:val="center"/>
          </w:tcPr>
          <w:p w:rsidR="007B0CE3" w:rsidRDefault="007B0CE3" w:rsidP="007B0CE3">
            <w:pPr>
              <w:spacing w:line="240" w:lineRule="auto"/>
              <w:jc w:val="left"/>
              <w:rPr>
                <w:rFonts w:cs="Tahoma"/>
                <w:sz w:val="18"/>
                <w:szCs w:val="18"/>
              </w:rPr>
            </w:pPr>
            <w:r w:rsidRPr="00004B0C">
              <w:rPr>
                <w:rFonts w:cs="Tahoma"/>
                <w:sz w:val="18"/>
                <w:szCs w:val="18"/>
              </w:rPr>
              <w:t>Art</w:t>
            </w:r>
            <w:r>
              <w:rPr>
                <w:rFonts w:cs="Tahoma"/>
                <w:sz w:val="18"/>
                <w:szCs w:val="18"/>
              </w:rPr>
              <w:t>t</w:t>
            </w:r>
            <w:r w:rsidRPr="00004B0C">
              <w:rPr>
                <w:rFonts w:cs="Tahoma"/>
                <w:sz w:val="18"/>
                <w:szCs w:val="18"/>
              </w:rPr>
              <w:t xml:space="preserve">. </w:t>
            </w:r>
            <w:r>
              <w:rPr>
                <w:rFonts w:cs="Tahoma"/>
                <w:sz w:val="18"/>
                <w:szCs w:val="18"/>
              </w:rPr>
              <w:t xml:space="preserve">36(2a) </w:t>
            </w:r>
            <w:r w:rsidRPr="00004B0C">
              <w:rPr>
                <w:rFonts w:cs="Tahoma"/>
                <w:sz w:val="18"/>
                <w:szCs w:val="18"/>
              </w:rPr>
              <w:t>D.</w:t>
            </w:r>
            <w:r>
              <w:rPr>
                <w:rFonts w:cs="Tahoma"/>
                <w:sz w:val="18"/>
                <w:szCs w:val="18"/>
              </w:rPr>
              <w:t>l</w:t>
            </w:r>
            <w:r w:rsidRPr="00004B0C">
              <w:rPr>
                <w:rFonts w:cs="Tahoma"/>
                <w:sz w:val="18"/>
                <w:szCs w:val="18"/>
              </w:rPr>
              <w:t>gs</w:t>
            </w:r>
            <w:r>
              <w:rPr>
                <w:rFonts w:cs="Tahoma"/>
                <w:sz w:val="18"/>
                <w:szCs w:val="18"/>
              </w:rPr>
              <w:t>. 50/16</w:t>
            </w:r>
          </w:p>
          <w:p w:rsidR="007B0CE3" w:rsidRPr="00004B0C" w:rsidRDefault="007B0CE3" w:rsidP="007B0CE3">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FD6C47">
              <w:rPr>
                <w:rFonts w:cs="Tahoma"/>
                <w:sz w:val="18"/>
                <w:szCs w:val="18"/>
                <w:lang w:val="de-DE"/>
              </w:rPr>
              <w:t>, punto 3.3.1</w:t>
            </w:r>
          </w:p>
        </w:tc>
        <w:tc>
          <w:tcPr>
            <w:tcW w:w="254" w:type="pct"/>
            <w:vAlign w:val="center"/>
          </w:tcPr>
          <w:p w:rsidR="007B0CE3" w:rsidRPr="00FD6C47"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Pr="00FD6C47"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7B0CE3" w:rsidRPr="00FD6C47"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Pr="00FD6C47" w:rsidRDefault="007B0CE3" w:rsidP="007B0CE3">
            <w:pPr>
              <w:spacing w:line="240" w:lineRule="auto"/>
              <w:jc w:val="left"/>
              <w:rPr>
                <w:rFonts w:cs="Tahoma"/>
                <w:sz w:val="18"/>
                <w:lang w:val="de-DE"/>
              </w:rPr>
            </w:pPr>
          </w:p>
        </w:tc>
        <w:tc>
          <w:tcPr>
            <w:tcW w:w="898" w:type="pct"/>
            <w:vAlign w:val="center"/>
          </w:tcPr>
          <w:p w:rsidR="007B0CE3" w:rsidRPr="00FD6C47" w:rsidRDefault="007B0CE3" w:rsidP="007B0CE3">
            <w:pPr>
              <w:spacing w:line="240" w:lineRule="auto"/>
              <w:jc w:val="left"/>
              <w:rPr>
                <w:rFonts w:cs="Tahoma"/>
                <w:sz w:val="18"/>
                <w:lang w:val="de-DE"/>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3.a.</w:t>
            </w:r>
          </w:p>
        </w:tc>
        <w:tc>
          <w:tcPr>
            <w:tcW w:w="1842" w:type="pct"/>
            <w:vAlign w:val="center"/>
          </w:tcPr>
          <w:p w:rsidR="007B0CE3" w:rsidRDefault="007B0CE3" w:rsidP="007B0CE3">
            <w:pPr>
              <w:pStyle w:val="BodyText2"/>
              <w:jc w:val="both"/>
              <w:rPr>
                <w:sz w:val="18"/>
                <w:szCs w:val="18"/>
              </w:rPr>
            </w:pPr>
            <w:r>
              <w:rPr>
                <w:sz w:val="18"/>
                <w:szCs w:val="18"/>
              </w:rPr>
              <w:t xml:space="preserve">- </w:t>
            </w:r>
            <w:r w:rsidRPr="00CD7FB5">
              <w:rPr>
                <w:sz w:val="18"/>
                <w:szCs w:val="18"/>
              </w:rPr>
              <w:t>In caso di affidamento all’operatore economico uscente, è richiesto un onere motivazionale più stringente, in quanto la stazione appaltante motiva la scelta avuto riguardo al grado di soddisfazione maturato a conclusione del precedente rapporto contrattuale (esecuzione a regola d’arte, nel rispetto dei tempi e dei costi pattuiti) e in ragione della competitività del prezzo offerto rispetto alla media dei prezzi praticati nel settore di mercato di riferimento, anche tenendo conto della qualità della prestazione</w:t>
            </w:r>
            <w:r>
              <w:rPr>
                <w:sz w:val="18"/>
                <w:szCs w:val="18"/>
              </w:rPr>
              <w:t>;</w:t>
            </w:r>
          </w:p>
        </w:tc>
        <w:tc>
          <w:tcPr>
            <w:tcW w:w="690" w:type="pct"/>
            <w:vAlign w:val="center"/>
          </w:tcPr>
          <w:p w:rsidR="007B0CE3" w:rsidRPr="00004B0C" w:rsidRDefault="007B0CE3" w:rsidP="007B0CE3">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3.3.2</w:t>
            </w:r>
          </w:p>
        </w:tc>
        <w:tc>
          <w:tcPr>
            <w:tcW w:w="254" w:type="pct"/>
            <w:vAlign w:val="center"/>
          </w:tcPr>
          <w:p w:rsidR="007B0CE3"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7B0CE3"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Default="007B0CE3" w:rsidP="007B0CE3">
            <w:pPr>
              <w:spacing w:line="240" w:lineRule="auto"/>
              <w:jc w:val="left"/>
              <w:rPr>
                <w:rFonts w:cs="Tahoma"/>
                <w:sz w:val="18"/>
                <w:lang w:val="de-DE"/>
              </w:rPr>
            </w:pPr>
          </w:p>
        </w:tc>
        <w:tc>
          <w:tcPr>
            <w:tcW w:w="898" w:type="pct"/>
            <w:vAlign w:val="center"/>
          </w:tcPr>
          <w:p w:rsidR="007B0CE3" w:rsidRDefault="007B0CE3" w:rsidP="007B0CE3">
            <w:pPr>
              <w:spacing w:line="240" w:lineRule="auto"/>
              <w:jc w:val="left"/>
              <w:rPr>
                <w:rFonts w:cs="Tahoma"/>
                <w:sz w:val="18"/>
                <w:lang w:val="de-DE"/>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3.b.</w:t>
            </w:r>
          </w:p>
        </w:tc>
        <w:tc>
          <w:tcPr>
            <w:tcW w:w="1842" w:type="pct"/>
            <w:vAlign w:val="center"/>
          </w:tcPr>
          <w:p w:rsidR="007B0CE3" w:rsidRDefault="007B0CE3" w:rsidP="007B0CE3">
            <w:pPr>
              <w:pStyle w:val="BodyText2"/>
              <w:jc w:val="both"/>
              <w:rPr>
                <w:sz w:val="18"/>
                <w:szCs w:val="18"/>
              </w:rPr>
            </w:pPr>
            <w:r>
              <w:rPr>
                <w:sz w:val="18"/>
                <w:szCs w:val="18"/>
              </w:rPr>
              <w:t xml:space="preserve">- </w:t>
            </w:r>
            <w:r w:rsidRPr="00CD7FB5">
              <w:rPr>
                <w:sz w:val="18"/>
                <w:szCs w:val="18"/>
              </w:rPr>
              <w:t>Gli oneri motivazionali relativi all’economicità dell’affidamento e al rispetto dei principi di concorrenza possono essere soddisfatti quando la stazione appaltante procede alla valutazione comparativa dei preventivi di spesa forniti da due o più operatori economici</w:t>
            </w:r>
            <w:r>
              <w:rPr>
                <w:sz w:val="18"/>
                <w:szCs w:val="18"/>
              </w:rPr>
              <w:t>;</w:t>
            </w:r>
          </w:p>
        </w:tc>
        <w:tc>
          <w:tcPr>
            <w:tcW w:w="690" w:type="pct"/>
            <w:vAlign w:val="center"/>
          </w:tcPr>
          <w:p w:rsidR="007B0CE3" w:rsidRPr="00004B0C" w:rsidRDefault="007B0CE3" w:rsidP="007B0CE3">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3.3.3</w:t>
            </w:r>
          </w:p>
        </w:tc>
        <w:tc>
          <w:tcPr>
            <w:tcW w:w="254" w:type="pct"/>
            <w:vAlign w:val="center"/>
          </w:tcPr>
          <w:p w:rsidR="007B0CE3"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7B0CE3"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Default="007B0CE3" w:rsidP="007B0CE3">
            <w:pPr>
              <w:spacing w:line="240" w:lineRule="auto"/>
              <w:jc w:val="left"/>
              <w:rPr>
                <w:rFonts w:cs="Tahoma"/>
                <w:sz w:val="18"/>
                <w:lang w:val="de-DE"/>
              </w:rPr>
            </w:pPr>
          </w:p>
        </w:tc>
        <w:tc>
          <w:tcPr>
            <w:tcW w:w="898" w:type="pct"/>
            <w:vAlign w:val="center"/>
          </w:tcPr>
          <w:p w:rsidR="007B0CE3" w:rsidRDefault="007B0CE3" w:rsidP="007B0CE3">
            <w:pPr>
              <w:spacing w:line="240" w:lineRule="auto"/>
              <w:jc w:val="left"/>
              <w:rPr>
                <w:rFonts w:cs="Tahoma"/>
                <w:sz w:val="18"/>
                <w:lang w:val="de-DE"/>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lastRenderedPageBreak/>
              <w:t>3.c.</w:t>
            </w:r>
          </w:p>
        </w:tc>
        <w:tc>
          <w:tcPr>
            <w:tcW w:w="1842" w:type="pct"/>
            <w:vAlign w:val="center"/>
          </w:tcPr>
          <w:p w:rsidR="007B0CE3" w:rsidRDefault="007B0CE3" w:rsidP="007B0CE3">
            <w:pPr>
              <w:pStyle w:val="BodyText2"/>
              <w:jc w:val="both"/>
              <w:rPr>
                <w:sz w:val="18"/>
                <w:szCs w:val="18"/>
              </w:rPr>
            </w:pPr>
            <w:r>
              <w:rPr>
                <w:sz w:val="18"/>
                <w:szCs w:val="18"/>
              </w:rPr>
              <w:t xml:space="preserve">- </w:t>
            </w:r>
            <w:r w:rsidRPr="00CD7FB5">
              <w:rPr>
                <w:sz w:val="18"/>
                <w:szCs w:val="18"/>
              </w:rPr>
              <w:t>L’obbligo di motivazione può essere attenuato per affidamenti di modico valore, ad esempio inferiori a 1000 euro, o quando l’acquisizione avviene nel rispetto del regolamento di contabilità dell’amministrazione, ovvero nel caso in cui la stazione appaltante adotti un proprio regolamento per l’acquisizione di lavori, servizi e forniture in economia, redatto nel rispetto dei principi contenuti nel Codice</w:t>
            </w:r>
            <w:r>
              <w:rPr>
                <w:sz w:val="18"/>
                <w:szCs w:val="18"/>
              </w:rPr>
              <w:t>.</w:t>
            </w:r>
          </w:p>
        </w:tc>
        <w:tc>
          <w:tcPr>
            <w:tcW w:w="690" w:type="pct"/>
            <w:vAlign w:val="center"/>
          </w:tcPr>
          <w:p w:rsidR="007B0CE3" w:rsidRPr="00004B0C" w:rsidRDefault="007B0CE3" w:rsidP="007B0CE3">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3.3.4</w:t>
            </w:r>
          </w:p>
        </w:tc>
        <w:tc>
          <w:tcPr>
            <w:tcW w:w="254" w:type="pct"/>
            <w:vAlign w:val="center"/>
          </w:tcPr>
          <w:p w:rsidR="007B0CE3"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12" w:space="0" w:color="auto"/>
              <w:right w:val="single" w:sz="2" w:space="0" w:color="auto"/>
            </w:tcBorders>
            <w:shd w:val="clear" w:color="auto" w:fill="FFFFFF" w:themeFill="background1"/>
            <w:vAlign w:val="center"/>
          </w:tcPr>
          <w:p w:rsidR="007B0CE3"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Default="007B0CE3" w:rsidP="007B0CE3">
            <w:pPr>
              <w:spacing w:line="240" w:lineRule="auto"/>
              <w:jc w:val="left"/>
              <w:rPr>
                <w:rFonts w:cs="Tahoma"/>
                <w:sz w:val="18"/>
                <w:lang w:val="de-DE"/>
              </w:rPr>
            </w:pPr>
          </w:p>
        </w:tc>
        <w:tc>
          <w:tcPr>
            <w:tcW w:w="898" w:type="pct"/>
            <w:vAlign w:val="center"/>
          </w:tcPr>
          <w:p w:rsidR="007B0CE3" w:rsidRDefault="007B0CE3" w:rsidP="007B0CE3">
            <w:pPr>
              <w:spacing w:line="240" w:lineRule="auto"/>
              <w:jc w:val="left"/>
              <w:rPr>
                <w:rFonts w:cs="Tahoma"/>
                <w:sz w:val="18"/>
                <w:lang w:val="de-DE"/>
              </w:rPr>
            </w:pPr>
          </w:p>
        </w:tc>
      </w:tr>
      <w:tr w:rsidR="007B0CE3">
        <w:trPr>
          <w:trHeight w:val="567"/>
          <w:jc w:val="center"/>
        </w:trPr>
        <w:tc>
          <w:tcPr>
            <w:tcW w:w="369" w:type="pct"/>
            <w:vAlign w:val="center"/>
          </w:tcPr>
          <w:p w:rsidR="007B0CE3" w:rsidRPr="00617D19" w:rsidRDefault="007B0CE3" w:rsidP="007B0CE3">
            <w:pPr>
              <w:spacing w:line="240" w:lineRule="auto"/>
              <w:jc w:val="center"/>
              <w:rPr>
                <w:rFonts w:cs="Tahoma"/>
                <w:sz w:val="18"/>
              </w:rPr>
            </w:pPr>
            <w:r w:rsidRPr="00617D19">
              <w:rPr>
                <w:rFonts w:cs="Tahoma"/>
                <w:sz w:val="18"/>
              </w:rPr>
              <w:t>4.</w:t>
            </w:r>
          </w:p>
        </w:tc>
        <w:tc>
          <w:tcPr>
            <w:tcW w:w="1842" w:type="pct"/>
            <w:vAlign w:val="center"/>
          </w:tcPr>
          <w:p w:rsidR="007B0CE3" w:rsidRPr="00B8128A" w:rsidRDefault="007B0CE3" w:rsidP="007B0CE3">
            <w:pPr>
              <w:pStyle w:val="BodyText2"/>
              <w:jc w:val="both"/>
              <w:rPr>
                <w:sz w:val="18"/>
                <w:szCs w:val="18"/>
              </w:rPr>
            </w:pPr>
            <w:r>
              <w:rPr>
                <w:sz w:val="18"/>
                <w:szCs w:val="18"/>
              </w:rPr>
              <w:t xml:space="preserve">Invio dell’invito al partecipante </w:t>
            </w:r>
            <w:r w:rsidRPr="00820AA6">
              <w:rPr>
                <w:color w:val="000000"/>
                <w:sz w:val="18"/>
                <w:szCs w:val="18"/>
              </w:rPr>
              <w:t>a presentare l</w:t>
            </w:r>
            <w:r>
              <w:rPr>
                <w:color w:val="000000"/>
                <w:sz w:val="18"/>
                <w:szCs w:val="18"/>
              </w:rPr>
              <w:t>’</w:t>
            </w:r>
            <w:r w:rsidRPr="00820AA6">
              <w:rPr>
                <w:color w:val="000000"/>
                <w:sz w:val="18"/>
                <w:szCs w:val="18"/>
              </w:rPr>
              <w:t>offert</w:t>
            </w:r>
            <w:r>
              <w:rPr>
                <w:color w:val="000000"/>
                <w:sz w:val="18"/>
                <w:szCs w:val="18"/>
              </w:rPr>
              <w:t>a</w:t>
            </w:r>
            <w:r>
              <w:rPr>
                <w:sz w:val="18"/>
                <w:szCs w:val="18"/>
              </w:rPr>
              <w:t>. L’invito</w:t>
            </w:r>
            <w:r w:rsidRPr="00557D35">
              <w:rPr>
                <w:sz w:val="18"/>
                <w:szCs w:val="18"/>
              </w:rPr>
              <w:t xml:space="preserve"> menziona </w:t>
            </w:r>
            <w:r>
              <w:rPr>
                <w:color w:val="000000"/>
                <w:sz w:val="18"/>
                <w:szCs w:val="18"/>
              </w:rPr>
              <w:t>gli elementi elencati al punto 4.2.6 delle Linee Guida ANAC</w:t>
            </w:r>
          </w:p>
        </w:tc>
        <w:tc>
          <w:tcPr>
            <w:tcW w:w="690" w:type="pct"/>
            <w:vAlign w:val="center"/>
          </w:tcPr>
          <w:p w:rsidR="007B0CE3" w:rsidRDefault="007B0CE3" w:rsidP="007B0CE3">
            <w:pPr>
              <w:spacing w:line="240" w:lineRule="auto"/>
              <w:jc w:val="left"/>
              <w:rPr>
                <w:rFonts w:cs="Tahoma"/>
                <w:sz w:val="18"/>
                <w:szCs w:val="18"/>
              </w:rPr>
            </w:pPr>
            <w:r w:rsidRPr="00004B0C">
              <w:rPr>
                <w:rFonts w:cs="Tahoma"/>
                <w:sz w:val="18"/>
                <w:szCs w:val="18"/>
              </w:rPr>
              <w:t>Art</w:t>
            </w:r>
            <w:r>
              <w:rPr>
                <w:rFonts w:cs="Tahoma"/>
                <w:sz w:val="18"/>
                <w:szCs w:val="18"/>
              </w:rPr>
              <w:t>t</w:t>
            </w:r>
            <w:r w:rsidRPr="00004B0C">
              <w:rPr>
                <w:rFonts w:cs="Tahoma"/>
                <w:sz w:val="18"/>
                <w:szCs w:val="18"/>
              </w:rPr>
              <w:t xml:space="preserve">. </w:t>
            </w:r>
            <w:r>
              <w:rPr>
                <w:rFonts w:cs="Tahoma"/>
                <w:sz w:val="18"/>
                <w:szCs w:val="18"/>
              </w:rPr>
              <w:t xml:space="preserve">36(2a) </w:t>
            </w:r>
            <w:r w:rsidRPr="00004B0C">
              <w:rPr>
                <w:rFonts w:cs="Tahoma"/>
                <w:sz w:val="18"/>
                <w:szCs w:val="18"/>
              </w:rPr>
              <w:t>D.</w:t>
            </w:r>
            <w:r>
              <w:rPr>
                <w:rFonts w:cs="Tahoma"/>
                <w:sz w:val="18"/>
                <w:szCs w:val="18"/>
              </w:rPr>
              <w:t>l</w:t>
            </w:r>
            <w:r w:rsidRPr="00004B0C">
              <w:rPr>
                <w:rFonts w:cs="Tahoma"/>
                <w:sz w:val="18"/>
                <w:szCs w:val="18"/>
              </w:rPr>
              <w:t>gs</w:t>
            </w:r>
            <w:r>
              <w:rPr>
                <w:rFonts w:cs="Tahoma"/>
                <w:sz w:val="18"/>
                <w:szCs w:val="18"/>
              </w:rPr>
              <w:t>. 50/16</w:t>
            </w:r>
          </w:p>
          <w:p w:rsidR="007B0CE3" w:rsidRPr="00FD6C47" w:rsidRDefault="007B0CE3" w:rsidP="007B0CE3">
            <w:pPr>
              <w:spacing w:line="240" w:lineRule="auto"/>
              <w:jc w:val="left"/>
              <w:rPr>
                <w:sz w:val="18"/>
                <w:lang w:val="de-DE"/>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FD6C47">
              <w:rPr>
                <w:rFonts w:cs="Tahoma"/>
                <w:sz w:val="18"/>
                <w:szCs w:val="18"/>
                <w:lang w:val="de-DE"/>
              </w:rPr>
              <w:t>, punto 4.2.6</w:t>
            </w:r>
          </w:p>
        </w:tc>
        <w:tc>
          <w:tcPr>
            <w:tcW w:w="254" w:type="pct"/>
            <w:vAlign w:val="center"/>
          </w:tcPr>
          <w:p w:rsidR="007B0CE3" w:rsidRPr="00FD6C47"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Pr="00FD6C47"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7B0CE3" w:rsidRPr="00FD6C47"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Pr="00FD6C47" w:rsidRDefault="007B0CE3" w:rsidP="007B0CE3">
            <w:pPr>
              <w:spacing w:line="240" w:lineRule="auto"/>
              <w:jc w:val="left"/>
              <w:rPr>
                <w:rFonts w:cs="Tahoma"/>
                <w:sz w:val="18"/>
                <w:lang w:val="de-DE"/>
              </w:rPr>
            </w:pPr>
          </w:p>
        </w:tc>
        <w:tc>
          <w:tcPr>
            <w:tcW w:w="898" w:type="pct"/>
            <w:vAlign w:val="center"/>
          </w:tcPr>
          <w:p w:rsidR="007B0CE3" w:rsidRPr="00FD6C47" w:rsidRDefault="007B0CE3" w:rsidP="007B0CE3">
            <w:pPr>
              <w:spacing w:line="240" w:lineRule="auto"/>
              <w:jc w:val="left"/>
              <w:rPr>
                <w:rFonts w:cs="Tahoma"/>
                <w:sz w:val="18"/>
                <w:lang w:val="de-DE"/>
              </w:rPr>
            </w:pPr>
          </w:p>
        </w:tc>
      </w:tr>
      <w:tr w:rsidR="007B0CE3" w:rsidRPr="00BF0DED">
        <w:trPr>
          <w:trHeight w:val="567"/>
          <w:jc w:val="center"/>
        </w:trPr>
        <w:tc>
          <w:tcPr>
            <w:tcW w:w="369" w:type="pct"/>
            <w:vAlign w:val="center"/>
          </w:tcPr>
          <w:p w:rsidR="007B0CE3" w:rsidRPr="00617D19" w:rsidRDefault="007B0CE3" w:rsidP="007B0CE3">
            <w:pPr>
              <w:spacing w:line="240" w:lineRule="auto"/>
              <w:jc w:val="center"/>
              <w:rPr>
                <w:rFonts w:cs="Tahoma"/>
                <w:sz w:val="18"/>
                <w:lang w:val="de-DE"/>
              </w:rPr>
            </w:pPr>
            <w:r>
              <w:rPr>
                <w:rFonts w:cs="Tahoma"/>
                <w:sz w:val="18"/>
                <w:lang w:val="de-DE"/>
              </w:rPr>
              <w:t>5.</w:t>
            </w:r>
          </w:p>
        </w:tc>
        <w:tc>
          <w:tcPr>
            <w:tcW w:w="1842" w:type="pct"/>
            <w:vAlign w:val="center"/>
          </w:tcPr>
          <w:p w:rsidR="007B0CE3" w:rsidRPr="00B8128A" w:rsidRDefault="007B0CE3" w:rsidP="007B0CE3">
            <w:pPr>
              <w:pStyle w:val="BodyText2"/>
              <w:jc w:val="both"/>
              <w:rPr>
                <w:sz w:val="18"/>
                <w:szCs w:val="18"/>
              </w:rPr>
            </w:pPr>
            <w:r w:rsidRPr="00B8128A">
              <w:rPr>
                <w:color w:val="000000"/>
                <w:sz w:val="18"/>
                <w:szCs w:val="18"/>
              </w:rPr>
              <w:t>Verifica del rispetto dei termini nella ricezione delle offerte</w:t>
            </w:r>
            <w:r>
              <w:rPr>
                <w:color w:val="000000"/>
                <w:sz w:val="18"/>
                <w:szCs w:val="18"/>
              </w:rPr>
              <w:t>:</w:t>
            </w:r>
            <w:r w:rsidRPr="00B8128A">
              <w:rPr>
                <w:color w:val="000000"/>
                <w:sz w:val="18"/>
                <w:szCs w:val="18"/>
              </w:rPr>
              <w:t xml:space="preserve"> </w:t>
            </w:r>
          </w:p>
        </w:tc>
        <w:tc>
          <w:tcPr>
            <w:tcW w:w="690" w:type="pct"/>
            <w:vAlign w:val="center"/>
          </w:tcPr>
          <w:p w:rsidR="007B0CE3" w:rsidRDefault="007B0CE3" w:rsidP="007B0CE3">
            <w:pPr>
              <w:jc w:val="left"/>
              <w:rPr>
                <w:rFonts w:cs="Tahoma"/>
                <w:sz w:val="18"/>
                <w:szCs w:val="18"/>
              </w:rPr>
            </w:pPr>
          </w:p>
        </w:tc>
        <w:tc>
          <w:tcPr>
            <w:tcW w:w="254" w:type="pct"/>
            <w:vAlign w:val="center"/>
          </w:tcPr>
          <w:p w:rsidR="007B0CE3" w:rsidRPr="00BF0DED" w:rsidRDefault="007B0CE3" w:rsidP="007B0CE3">
            <w:pPr>
              <w:spacing w:line="240" w:lineRule="auto"/>
              <w:jc w:val="left"/>
              <w:rPr>
                <w:rFonts w:cs="Tahoma"/>
                <w:sz w:val="18"/>
              </w:rPr>
            </w:pPr>
          </w:p>
        </w:tc>
        <w:tc>
          <w:tcPr>
            <w:tcW w:w="255" w:type="pct"/>
            <w:tcBorders>
              <w:right w:val="single" w:sz="2" w:space="0" w:color="auto"/>
            </w:tcBorders>
            <w:vAlign w:val="center"/>
          </w:tcPr>
          <w:p w:rsidR="007B0CE3" w:rsidRPr="00BF0DED" w:rsidRDefault="007B0CE3" w:rsidP="007B0CE3">
            <w:pPr>
              <w:spacing w:line="240" w:lineRule="auto"/>
              <w:jc w:val="left"/>
              <w:rPr>
                <w:rFonts w:cs="Tahoma"/>
                <w:sz w:val="18"/>
              </w:rPr>
            </w:pPr>
          </w:p>
        </w:tc>
        <w:tc>
          <w:tcPr>
            <w:tcW w:w="258"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rsidR="007B0CE3" w:rsidRPr="00BF0DED" w:rsidRDefault="007B0CE3" w:rsidP="007B0CE3">
            <w:pPr>
              <w:spacing w:line="240" w:lineRule="auto"/>
              <w:jc w:val="left"/>
              <w:rPr>
                <w:rFonts w:cs="Tahoma"/>
                <w:sz w:val="18"/>
              </w:rPr>
            </w:pPr>
          </w:p>
        </w:tc>
        <w:tc>
          <w:tcPr>
            <w:tcW w:w="434" w:type="pct"/>
            <w:tcBorders>
              <w:left w:val="single" w:sz="2" w:space="0" w:color="auto"/>
            </w:tcBorders>
            <w:vAlign w:val="center"/>
          </w:tcPr>
          <w:p w:rsidR="007B0CE3" w:rsidRPr="00BF0DED" w:rsidRDefault="007B0CE3" w:rsidP="007B0CE3">
            <w:pPr>
              <w:spacing w:line="240" w:lineRule="auto"/>
              <w:jc w:val="left"/>
              <w:rPr>
                <w:rFonts w:cs="Tahoma"/>
                <w:sz w:val="18"/>
              </w:rPr>
            </w:pPr>
          </w:p>
        </w:tc>
        <w:tc>
          <w:tcPr>
            <w:tcW w:w="898" w:type="pct"/>
            <w:vAlign w:val="center"/>
          </w:tcPr>
          <w:p w:rsidR="007B0CE3" w:rsidRPr="00BF0DED" w:rsidRDefault="007B0CE3" w:rsidP="007B0CE3">
            <w:pPr>
              <w:spacing w:line="240" w:lineRule="auto"/>
              <w:jc w:val="left"/>
              <w:rPr>
                <w:rFonts w:cs="Tahoma"/>
                <w:sz w:val="18"/>
              </w:rPr>
            </w:pPr>
          </w:p>
        </w:tc>
      </w:tr>
      <w:tr w:rsidR="007B0CE3" w:rsidRPr="00CC0A1D">
        <w:trPr>
          <w:trHeight w:val="567"/>
          <w:jc w:val="center"/>
        </w:trPr>
        <w:tc>
          <w:tcPr>
            <w:tcW w:w="369" w:type="pct"/>
            <w:vAlign w:val="center"/>
          </w:tcPr>
          <w:p w:rsidR="007B0CE3" w:rsidRPr="00617D19" w:rsidRDefault="007B0CE3" w:rsidP="007B0CE3">
            <w:pPr>
              <w:spacing w:line="240" w:lineRule="auto"/>
              <w:jc w:val="center"/>
              <w:rPr>
                <w:rFonts w:cs="Tahoma"/>
                <w:sz w:val="18"/>
                <w:lang w:val="de-DE"/>
              </w:rPr>
            </w:pPr>
            <w:r>
              <w:rPr>
                <w:rFonts w:cs="Tahoma"/>
                <w:sz w:val="18"/>
                <w:lang w:val="de-DE"/>
              </w:rPr>
              <w:t>5</w:t>
            </w:r>
            <w:r w:rsidRPr="00617D19">
              <w:rPr>
                <w:rFonts w:cs="Tahoma"/>
                <w:sz w:val="18"/>
                <w:lang w:val="de-DE"/>
              </w:rPr>
              <w:t>.a.</w:t>
            </w:r>
          </w:p>
        </w:tc>
        <w:tc>
          <w:tcPr>
            <w:tcW w:w="1842" w:type="pct"/>
            <w:vAlign w:val="center"/>
          </w:tcPr>
          <w:p w:rsidR="007B0CE3" w:rsidRPr="00FD6C47" w:rsidRDefault="007B0CE3" w:rsidP="007B0CE3">
            <w:pPr>
              <w:pStyle w:val="BodyText2"/>
              <w:numPr>
                <w:ilvl w:val="0"/>
                <w:numId w:val="15"/>
              </w:numPr>
              <w:jc w:val="both"/>
              <w:rPr>
                <w:sz w:val="18"/>
                <w:szCs w:val="18"/>
                <w:lang w:val="de-DE"/>
              </w:rPr>
            </w:pPr>
            <w:r w:rsidRPr="00090668">
              <w:rPr>
                <w:color w:val="000000"/>
                <w:sz w:val="18"/>
                <w:szCs w:val="18"/>
              </w:rPr>
              <w:t>Il termine per la ricezione delle offerte, decorrente dalla data di invio dell'invito</w:t>
            </w:r>
            <w:r>
              <w:rPr>
                <w:color w:val="000000"/>
                <w:sz w:val="18"/>
                <w:szCs w:val="18"/>
              </w:rPr>
              <w:t>, non può essere inferiore a 15</w:t>
            </w:r>
            <w:r w:rsidRPr="00090668">
              <w:rPr>
                <w:color w:val="000000"/>
                <w:sz w:val="18"/>
                <w:szCs w:val="18"/>
              </w:rPr>
              <w:t xml:space="preserve"> giorni;</w:t>
            </w:r>
          </w:p>
        </w:tc>
        <w:tc>
          <w:tcPr>
            <w:tcW w:w="690" w:type="pct"/>
            <w:vAlign w:val="center"/>
          </w:tcPr>
          <w:p w:rsidR="007B0CE3" w:rsidRDefault="007B0CE3" w:rsidP="007B0CE3">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61(3) e 79</w:t>
            </w:r>
            <w:r w:rsidRPr="001652F8">
              <w:rPr>
                <w:rFonts w:cs="Tahoma"/>
                <w:sz w:val="18"/>
                <w:szCs w:val="18"/>
              </w:rPr>
              <w:t xml:space="preserve"> 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4" w:type="pct"/>
            <w:vAlign w:val="center"/>
          </w:tcPr>
          <w:p w:rsidR="007B0CE3" w:rsidRPr="00CC0A1D" w:rsidRDefault="007B0CE3" w:rsidP="007B0CE3">
            <w:pPr>
              <w:spacing w:line="240" w:lineRule="auto"/>
              <w:jc w:val="left"/>
              <w:rPr>
                <w:rFonts w:cs="Tahoma"/>
                <w:sz w:val="18"/>
              </w:rPr>
            </w:pPr>
          </w:p>
        </w:tc>
        <w:tc>
          <w:tcPr>
            <w:tcW w:w="255" w:type="pct"/>
            <w:tcBorders>
              <w:right w:val="single" w:sz="12" w:space="0" w:color="auto"/>
            </w:tcBorders>
            <w:vAlign w:val="center"/>
          </w:tcPr>
          <w:p w:rsidR="007B0CE3" w:rsidRPr="00CC0A1D" w:rsidRDefault="007B0CE3" w:rsidP="007B0CE3">
            <w:pPr>
              <w:spacing w:line="240" w:lineRule="auto"/>
              <w:jc w:val="left"/>
              <w:rPr>
                <w:rFonts w:cs="Tahoma"/>
                <w:sz w:val="18"/>
              </w:rPr>
            </w:pPr>
          </w:p>
        </w:tc>
        <w:tc>
          <w:tcPr>
            <w:tcW w:w="258" w:type="pct"/>
            <w:tcBorders>
              <w:top w:val="single" w:sz="12" w:space="0" w:color="auto"/>
              <w:left w:val="single" w:sz="12" w:space="0" w:color="auto"/>
              <w:bottom w:val="single" w:sz="12" w:space="0" w:color="auto"/>
              <w:right w:val="single" w:sz="12" w:space="0" w:color="auto"/>
            </w:tcBorders>
            <w:vAlign w:val="center"/>
          </w:tcPr>
          <w:p w:rsidR="007B0CE3" w:rsidRPr="00CC0A1D" w:rsidRDefault="007B0CE3" w:rsidP="007B0CE3">
            <w:pPr>
              <w:spacing w:line="240" w:lineRule="auto"/>
              <w:jc w:val="left"/>
              <w:rPr>
                <w:rFonts w:cs="Tahoma"/>
                <w:sz w:val="18"/>
              </w:rPr>
            </w:pPr>
          </w:p>
        </w:tc>
        <w:tc>
          <w:tcPr>
            <w:tcW w:w="434" w:type="pct"/>
            <w:tcBorders>
              <w:left w:val="single" w:sz="12" w:space="0" w:color="auto"/>
            </w:tcBorders>
            <w:vAlign w:val="center"/>
          </w:tcPr>
          <w:p w:rsidR="007B0CE3" w:rsidRPr="00CC0A1D" w:rsidRDefault="007B0CE3" w:rsidP="007B0CE3">
            <w:pPr>
              <w:spacing w:line="240" w:lineRule="auto"/>
              <w:jc w:val="left"/>
              <w:rPr>
                <w:rFonts w:cs="Tahoma"/>
                <w:sz w:val="18"/>
              </w:rPr>
            </w:pPr>
          </w:p>
        </w:tc>
        <w:tc>
          <w:tcPr>
            <w:tcW w:w="898" w:type="pct"/>
            <w:vAlign w:val="center"/>
          </w:tcPr>
          <w:p w:rsidR="007B0CE3" w:rsidRPr="00CC0A1D" w:rsidRDefault="007B0CE3" w:rsidP="007B0CE3">
            <w:pPr>
              <w:spacing w:line="240" w:lineRule="auto"/>
              <w:jc w:val="left"/>
              <w:rPr>
                <w:rFonts w:cs="Tahoma"/>
                <w:sz w:val="18"/>
              </w:rPr>
            </w:pPr>
          </w:p>
        </w:tc>
      </w:tr>
      <w:tr w:rsidR="007B0CE3" w:rsidRPr="00CC0A1D">
        <w:trPr>
          <w:trHeight w:val="567"/>
          <w:jc w:val="center"/>
        </w:trPr>
        <w:tc>
          <w:tcPr>
            <w:tcW w:w="369" w:type="pct"/>
            <w:vAlign w:val="center"/>
          </w:tcPr>
          <w:p w:rsidR="007B0CE3" w:rsidRPr="00617D19" w:rsidRDefault="007B0CE3" w:rsidP="007B0CE3">
            <w:pPr>
              <w:spacing w:line="240" w:lineRule="auto"/>
              <w:jc w:val="center"/>
              <w:rPr>
                <w:rFonts w:cs="Tahoma"/>
                <w:sz w:val="18"/>
                <w:lang w:val="de-DE"/>
              </w:rPr>
            </w:pPr>
            <w:r>
              <w:rPr>
                <w:rFonts w:cs="Tahoma"/>
                <w:sz w:val="18"/>
                <w:lang w:val="de-DE"/>
              </w:rPr>
              <w:t>5.b</w:t>
            </w:r>
            <w:r w:rsidRPr="00617D19">
              <w:rPr>
                <w:rFonts w:cs="Tahoma"/>
                <w:sz w:val="18"/>
                <w:lang w:val="de-DE"/>
              </w:rPr>
              <w:t>.</w:t>
            </w:r>
          </w:p>
        </w:tc>
        <w:tc>
          <w:tcPr>
            <w:tcW w:w="1842" w:type="pct"/>
            <w:vAlign w:val="center"/>
          </w:tcPr>
          <w:p w:rsidR="007B0CE3" w:rsidRPr="00DB3568" w:rsidRDefault="007B0CE3" w:rsidP="007B0CE3">
            <w:pPr>
              <w:pStyle w:val="BodyText2"/>
              <w:numPr>
                <w:ilvl w:val="0"/>
                <w:numId w:val="15"/>
              </w:numPr>
              <w:jc w:val="both"/>
              <w:rPr>
                <w:color w:val="000000"/>
                <w:sz w:val="18"/>
                <w:szCs w:val="18"/>
              </w:rPr>
            </w:pPr>
            <w:r w:rsidRPr="000B179C">
              <w:rPr>
                <w:rFonts w:ascii="Verdana" w:hAnsi="Verdana" w:cs="Arial"/>
                <w:color w:val="000000"/>
                <w:sz w:val="18"/>
                <w:szCs w:val="18"/>
              </w:rPr>
              <w:t>q</w:t>
            </w:r>
            <w:r w:rsidRPr="00DB3568">
              <w:rPr>
                <w:color w:val="000000"/>
                <w:sz w:val="18"/>
                <w:szCs w:val="18"/>
              </w:rPr>
              <w:t>uando l'urgenza rende impossibile rispettare i termini minimi previsti, l</w:t>
            </w:r>
            <w:r>
              <w:rPr>
                <w:color w:val="000000"/>
                <w:sz w:val="18"/>
                <w:szCs w:val="18"/>
              </w:rPr>
              <w:t xml:space="preserve">a </w:t>
            </w:r>
            <w:r w:rsidRPr="00DB3568">
              <w:rPr>
                <w:color w:val="000000"/>
                <w:sz w:val="18"/>
                <w:szCs w:val="18"/>
              </w:rPr>
              <w:t>stazion</w:t>
            </w:r>
            <w:r>
              <w:rPr>
                <w:color w:val="000000"/>
                <w:sz w:val="18"/>
                <w:szCs w:val="18"/>
              </w:rPr>
              <w:t>e</w:t>
            </w:r>
            <w:r w:rsidRPr="00DB3568">
              <w:rPr>
                <w:color w:val="000000"/>
                <w:sz w:val="18"/>
                <w:szCs w:val="18"/>
              </w:rPr>
              <w:t xml:space="preserve"> appaltant</w:t>
            </w:r>
            <w:r>
              <w:rPr>
                <w:color w:val="000000"/>
                <w:sz w:val="18"/>
                <w:szCs w:val="18"/>
              </w:rPr>
              <w:t>e</w:t>
            </w:r>
            <w:r w:rsidRPr="00DB3568">
              <w:rPr>
                <w:color w:val="000000"/>
                <w:sz w:val="18"/>
                <w:szCs w:val="18"/>
              </w:rPr>
              <w:t>, purché indichi nel bando di gara le ragioni dell'urgenza, p</w:t>
            </w:r>
            <w:r>
              <w:rPr>
                <w:color w:val="000000"/>
                <w:sz w:val="18"/>
                <w:szCs w:val="18"/>
              </w:rPr>
              <w:t xml:space="preserve">uò </w:t>
            </w:r>
            <w:r w:rsidRPr="00DB3568">
              <w:rPr>
                <w:color w:val="000000"/>
                <w:sz w:val="18"/>
                <w:szCs w:val="18"/>
              </w:rPr>
              <w:t xml:space="preserve">stabilire un termine per la ricezione delle </w:t>
            </w:r>
            <w:r>
              <w:rPr>
                <w:color w:val="000000"/>
                <w:sz w:val="18"/>
                <w:szCs w:val="18"/>
              </w:rPr>
              <w:t xml:space="preserve">offerte </w:t>
            </w:r>
            <w:r w:rsidRPr="00DB3568">
              <w:rPr>
                <w:color w:val="000000"/>
                <w:sz w:val="18"/>
                <w:szCs w:val="18"/>
              </w:rPr>
              <w:t xml:space="preserve">non inferiore a </w:t>
            </w:r>
            <w:r>
              <w:rPr>
                <w:color w:val="000000"/>
                <w:sz w:val="18"/>
                <w:szCs w:val="18"/>
              </w:rPr>
              <w:t>5</w:t>
            </w:r>
            <w:r w:rsidRPr="00DB3568">
              <w:rPr>
                <w:color w:val="000000"/>
                <w:sz w:val="18"/>
                <w:szCs w:val="18"/>
              </w:rPr>
              <w:t xml:space="preserve"> giorni dalla data di </w:t>
            </w:r>
            <w:r>
              <w:rPr>
                <w:color w:val="000000"/>
                <w:sz w:val="18"/>
                <w:szCs w:val="18"/>
              </w:rPr>
              <w:t>invito a presentare l’offerta</w:t>
            </w:r>
            <w:r w:rsidRPr="00DB3568">
              <w:rPr>
                <w:color w:val="000000"/>
                <w:sz w:val="18"/>
                <w:szCs w:val="18"/>
              </w:rPr>
              <w:t>.</w:t>
            </w:r>
          </w:p>
        </w:tc>
        <w:tc>
          <w:tcPr>
            <w:tcW w:w="690" w:type="pct"/>
            <w:vAlign w:val="center"/>
          </w:tcPr>
          <w:p w:rsidR="007B0CE3" w:rsidRDefault="007B0CE3" w:rsidP="007B0CE3">
            <w:pPr>
              <w:jc w:val="left"/>
            </w:pPr>
            <w:r w:rsidRPr="001652F8">
              <w:rPr>
                <w:rFonts w:cs="Tahoma"/>
                <w:sz w:val="18"/>
                <w:szCs w:val="18"/>
              </w:rPr>
              <w:t>Art</w:t>
            </w:r>
            <w:r>
              <w:rPr>
                <w:rFonts w:cs="Tahoma"/>
                <w:sz w:val="18"/>
                <w:szCs w:val="18"/>
              </w:rPr>
              <w:t>t</w:t>
            </w:r>
            <w:r w:rsidRPr="001652F8">
              <w:rPr>
                <w:rFonts w:cs="Tahoma"/>
                <w:sz w:val="18"/>
                <w:szCs w:val="18"/>
              </w:rPr>
              <w:t xml:space="preserve">. </w:t>
            </w:r>
            <w:r>
              <w:rPr>
                <w:rFonts w:cs="Tahoma"/>
                <w:sz w:val="18"/>
                <w:szCs w:val="18"/>
              </w:rPr>
              <w:t>36(9), 61(6) e 79</w:t>
            </w:r>
            <w:r w:rsidRPr="001652F8">
              <w:rPr>
                <w:rFonts w:cs="Tahoma"/>
                <w:sz w:val="18"/>
                <w:szCs w:val="18"/>
              </w:rPr>
              <w:t xml:space="preserve"> 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4" w:type="pct"/>
            <w:vAlign w:val="center"/>
          </w:tcPr>
          <w:p w:rsidR="007B0CE3" w:rsidRPr="00CC0A1D" w:rsidRDefault="007B0CE3" w:rsidP="007B0CE3">
            <w:pPr>
              <w:spacing w:line="240" w:lineRule="auto"/>
              <w:jc w:val="left"/>
              <w:rPr>
                <w:rFonts w:cs="Tahoma"/>
                <w:sz w:val="18"/>
              </w:rPr>
            </w:pPr>
          </w:p>
        </w:tc>
        <w:tc>
          <w:tcPr>
            <w:tcW w:w="255" w:type="pct"/>
            <w:tcBorders>
              <w:right w:val="single" w:sz="12" w:space="0" w:color="auto"/>
            </w:tcBorders>
            <w:vAlign w:val="center"/>
          </w:tcPr>
          <w:p w:rsidR="007B0CE3" w:rsidRPr="00CC0A1D" w:rsidRDefault="007B0CE3" w:rsidP="007B0CE3">
            <w:pPr>
              <w:spacing w:line="240" w:lineRule="auto"/>
              <w:jc w:val="left"/>
              <w:rPr>
                <w:rFonts w:cs="Tahoma"/>
                <w:sz w:val="18"/>
              </w:rPr>
            </w:pPr>
          </w:p>
        </w:tc>
        <w:tc>
          <w:tcPr>
            <w:tcW w:w="258" w:type="pct"/>
            <w:tcBorders>
              <w:top w:val="single" w:sz="12" w:space="0" w:color="auto"/>
              <w:left w:val="single" w:sz="12" w:space="0" w:color="auto"/>
              <w:bottom w:val="single" w:sz="12" w:space="0" w:color="auto"/>
              <w:right w:val="single" w:sz="12" w:space="0" w:color="auto"/>
            </w:tcBorders>
            <w:vAlign w:val="center"/>
          </w:tcPr>
          <w:p w:rsidR="007B0CE3" w:rsidRPr="00CC0A1D" w:rsidRDefault="007B0CE3" w:rsidP="007B0CE3">
            <w:pPr>
              <w:spacing w:line="240" w:lineRule="auto"/>
              <w:jc w:val="left"/>
              <w:rPr>
                <w:rFonts w:cs="Tahoma"/>
                <w:sz w:val="18"/>
              </w:rPr>
            </w:pPr>
          </w:p>
        </w:tc>
        <w:tc>
          <w:tcPr>
            <w:tcW w:w="434" w:type="pct"/>
            <w:tcBorders>
              <w:left w:val="single" w:sz="12" w:space="0" w:color="auto"/>
            </w:tcBorders>
            <w:vAlign w:val="center"/>
          </w:tcPr>
          <w:p w:rsidR="007B0CE3" w:rsidRPr="00CC0A1D" w:rsidRDefault="007B0CE3" w:rsidP="007B0CE3">
            <w:pPr>
              <w:spacing w:line="240" w:lineRule="auto"/>
              <w:jc w:val="left"/>
              <w:rPr>
                <w:rFonts w:cs="Tahoma"/>
                <w:sz w:val="18"/>
              </w:rPr>
            </w:pPr>
          </w:p>
        </w:tc>
        <w:tc>
          <w:tcPr>
            <w:tcW w:w="898" w:type="pct"/>
            <w:vAlign w:val="center"/>
          </w:tcPr>
          <w:p w:rsidR="007B0CE3" w:rsidRPr="00CC0A1D" w:rsidRDefault="007B0CE3" w:rsidP="007B0CE3">
            <w:pPr>
              <w:spacing w:line="240" w:lineRule="auto"/>
              <w:jc w:val="left"/>
              <w:rPr>
                <w:rFonts w:cs="Tahoma"/>
                <w:sz w:val="18"/>
              </w:rPr>
            </w:pPr>
          </w:p>
        </w:tc>
      </w:tr>
      <w:tr w:rsidR="007B0CE3">
        <w:trPr>
          <w:trHeight w:val="567"/>
          <w:jc w:val="center"/>
        </w:trPr>
        <w:tc>
          <w:tcPr>
            <w:tcW w:w="369" w:type="pct"/>
            <w:vAlign w:val="center"/>
          </w:tcPr>
          <w:p w:rsidR="007B0CE3" w:rsidRPr="00515EB8" w:rsidRDefault="007B0CE3" w:rsidP="007B0CE3">
            <w:pPr>
              <w:spacing w:line="240" w:lineRule="auto"/>
              <w:jc w:val="center"/>
              <w:rPr>
                <w:rFonts w:cs="Tahoma"/>
                <w:sz w:val="18"/>
                <w:lang w:val="en-GB"/>
              </w:rPr>
            </w:pPr>
            <w:r>
              <w:rPr>
                <w:rFonts w:cs="Tahoma"/>
                <w:sz w:val="18"/>
                <w:lang w:val="en-GB"/>
              </w:rPr>
              <w:t>6</w:t>
            </w:r>
            <w:r w:rsidRPr="00515EB8">
              <w:rPr>
                <w:rFonts w:cs="Tahoma"/>
                <w:sz w:val="18"/>
                <w:lang w:val="en-GB"/>
              </w:rPr>
              <w:t>.</w:t>
            </w:r>
          </w:p>
        </w:tc>
        <w:tc>
          <w:tcPr>
            <w:tcW w:w="1842" w:type="pct"/>
            <w:vAlign w:val="center"/>
          </w:tcPr>
          <w:p w:rsidR="007B0CE3" w:rsidRPr="008949B6" w:rsidRDefault="007B0CE3" w:rsidP="007B0CE3">
            <w:pPr>
              <w:pStyle w:val="BodyText2"/>
              <w:jc w:val="both"/>
              <w:rPr>
                <w:sz w:val="18"/>
                <w:szCs w:val="18"/>
              </w:rPr>
            </w:pPr>
            <w:r w:rsidRPr="00515EB8">
              <w:rPr>
                <w:sz w:val="18"/>
                <w:szCs w:val="18"/>
              </w:rPr>
              <w:t xml:space="preserve">Verifica </w:t>
            </w:r>
            <w:r w:rsidRPr="0075420C">
              <w:rPr>
                <w:sz w:val="18"/>
                <w:szCs w:val="18"/>
              </w:rPr>
              <w:t>requisiti per la partecipazione</w:t>
            </w:r>
            <w:r w:rsidRPr="00515EB8">
              <w:rPr>
                <w:sz w:val="18"/>
                <w:szCs w:val="18"/>
              </w:rPr>
              <w:t xml:space="preserve"> </w:t>
            </w:r>
            <w:r>
              <w:rPr>
                <w:sz w:val="18"/>
                <w:szCs w:val="18"/>
              </w:rPr>
              <w:t>a</w:t>
            </w:r>
            <w:r w:rsidRPr="00515EB8">
              <w:rPr>
                <w:sz w:val="18"/>
                <w:szCs w:val="18"/>
              </w:rPr>
              <w:t>lla gara</w:t>
            </w:r>
            <w:r>
              <w:rPr>
                <w:sz w:val="18"/>
                <w:szCs w:val="18"/>
              </w:rPr>
              <w:t>.</w:t>
            </w:r>
          </w:p>
        </w:tc>
        <w:tc>
          <w:tcPr>
            <w:tcW w:w="690" w:type="pct"/>
            <w:vAlign w:val="center"/>
          </w:tcPr>
          <w:p w:rsidR="007B0CE3" w:rsidRPr="00FD6C47" w:rsidRDefault="007B0CE3" w:rsidP="007B0CE3">
            <w:pPr>
              <w:spacing w:line="240" w:lineRule="auto"/>
              <w:jc w:val="left"/>
              <w:rPr>
                <w:rFonts w:eastAsia="Arial Unicode MS" w:cs="Tahoma"/>
                <w:sz w:val="18"/>
                <w:szCs w:val="18"/>
                <w:lang w:val="de-DE"/>
              </w:rPr>
            </w:pPr>
            <w:r w:rsidRPr="00FD6C47">
              <w:rPr>
                <w:rFonts w:eastAsia="Arial Unicode MS" w:cs="Tahoma"/>
                <w:sz w:val="18"/>
                <w:szCs w:val="18"/>
                <w:lang w:val="de-DE"/>
              </w:rPr>
              <w:t>Artt. 36(5 e 6), 80 e 84 D.lgs. 50/16</w:t>
            </w:r>
          </w:p>
          <w:p w:rsidR="007B0CE3" w:rsidRPr="00FD6C47" w:rsidRDefault="007B0CE3" w:rsidP="007B0CE3">
            <w:pPr>
              <w:spacing w:line="240" w:lineRule="auto"/>
              <w:jc w:val="left"/>
              <w:rPr>
                <w:rFonts w:eastAsia="Arial Unicode MS" w:cs="Tahoma"/>
                <w:sz w:val="18"/>
                <w:szCs w:val="18"/>
                <w:lang w:val="de-DE"/>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FD6C47">
              <w:rPr>
                <w:rFonts w:cs="Tahoma"/>
                <w:sz w:val="18"/>
                <w:szCs w:val="18"/>
                <w:lang w:val="de-DE"/>
              </w:rPr>
              <w:t>, punti 3.2.1 e 3.2.2.</w:t>
            </w:r>
          </w:p>
        </w:tc>
        <w:tc>
          <w:tcPr>
            <w:tcW w:w="254" w:type="pct"/>
            <w:vAlign w:val="center"/>
          </w:tcPr>
          <w:p w:rsidR="007B0CE3" w:rsidRPr="00FD6C47" w:rsidRDefault="007B0CE3" w:rsidP="007B0CE3">
            <w:pPr>
              <w:spacing w:line="240" w:lineRule="auto"/>
              <w:jc w:val="left"/>
              <w:rPr>
                <w:rFonts w:cs="Tahoma"/>
                <w:sz w:val="18"/>
                <w:lang w:val="de-DE"/>
              </w:rPr>
            </w:pPr>
          </w:p>
        </w:tc>
        <w:tc>
          <w:tcPr>
            <w:tcW w:w="255" w:type="pct"/>
            <w:tcBorders>
              <w:right w:val="single" w:sz="2" w:space="0" w:color="auto"/>
            </w:tcBorders>
            <w:vAlign w:val="center"/>
          </w:tcPr>
          <w:p w:rsidR="007B0CE3" w:rsidRPr="00FD6C47"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7B0CE3" w:rsidRPr="00FD6C47"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Pr="00FD6C47" w:rsidRDefault="007B0CE3" w:rsidP="007B0CE3">
            <w:pPr>
              <w:spacing w:line="240" w:lineRule="auto"/>
              <w:jc w:val="left"/>
              <w:rPr>
                <w:rFonts w:cs="Tahoma"/>
                <w:sz w:val="18"/>
                <w:lang w:val="de-DE"/>
              </w:rPr>
            </w:pPr>
          </w:p>
        </w:tc>
        <w:tc>
          <w:tcPr>
            <w:tcW w:w="898" w:type="pct"/>
            <w:vAlign w:val="center"/>
          </w:tcPr>
          <w:p w:rsidR="007B0CE3" w:rsidRPr="00FD6C47" w:rsidRDefault="007B0CE3" w:rsidP="007B0CE3">
            <w:pPr>
              <w:spacing w:line="240" w:lineRule="auto"/>
              <w:jc w:val="left"/>
              <w:rPr>
                <w:rFonts w:cs="Tahoma"/>
                <w:sz w:val="18"/>
                <w:lang w:val="de-DE"/>
              </w:rPr>
            </w:pPr>
          </w:p>
        </w:tc>
      </w:tr>
      <w:tr w:rsidR="006D4C4B" w:rsidRPr="007D23B1">
        <w:trPr>
          <w:trHeight w:val="567"/>
          <w:jc w:val="center"/>
        </w:trPr>
        <w:tc>
          <w:tcPr>
            <w:tcW w:w="369" w:type="pct"/>
            <w:vAlign w:val="center"/>
          </w:tcPr>
          <w:p w:rsidR="006D4C4B" w:rsidRPr="007D23B1" w:rsidRDefault="006D4C4B" w:rsidP="006D4C4B">
            <w:pPr>
              <w:spacing w:line="240" w:lineRule="auto"/>
              <w:jc w:val="center"/>
              <w:rPr>
                <w:rFonts w:cs="Tahoma"/>
                <w:sz w:val="18"/>
                <w:lang w:val="en-GB"/>
              </w:rPr>
            </w:pPr>
            <w:r w:rsidRPr="007D23B1">
              <w:rPr>
                <w:rFonts w:cs="Tahoma"/>
                <w:sz w:val="18"/>
                <w:lang w:val="en-GB"/>
              </w:rPr>
              <w:t>6.a</w:t>
            </w:r>
          </w:p>
        </w:tc>
        <w:tc>
          <w:tcPr>
            <w:tcW w:w="1842" w:type="pct"/>
            <w:vAlign w:val="center"/>
          </w:tcPr>
          <w:p w:rsidR="006D4C4B" w:rsidRPr="007D23B1" w:rsidRDefault="006D4C4B" w:rsidP="006D4C4B">
            <w:pPr>
              <w:pStyle w:val="BodyText2"/>
              <w:jc w:val="both"/>
              <w:rPr>
                <w:sz w:val="18"/>
                <w:szCs w:val="18"/>
              </w:rPr>
            </w:pPr>
            <w:r w:rsidRPr="007D23B1">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rsidR="006D4C4B" w:rsidRPr="007D23B1" w:rsidRDefault="006D4C4B" w:rsidP="00EE4AD0">
            <w:pPr>
              <w:pStyle w:val="BodyText2"/>
              <w:numPr>
                <w:ilvl w:val="0"/>
                <w:numId w:val="20"/>
              </w:numPr>
              <w:ind w:left="241" w:hanging="241"/>
              <w:jc w:val="both"/>
              <w:rPr>
                <w:sz w:val="18"/>
                <w:szCs w:val="18"/>
              </w:rPr>
            </w:pPr>
            <w:r w:rsidRPr="007D23B1">
              <w:rPr>
                <w:sz w:val="18"/>
                <w:szCs w:val="18"/>
              </w:rPr>
              <w:t>le esclusioni dalla procedura di affidamento</w:t>
            </w:r>
          </w:p>
          <w:p w:rsidR="006D4C4B" w:rsidRPr="007D23B1" w:rsidRDefault="006D4C4B" w:rsidP="00EE4AD0">
            <w:pPr>
              <w:pStyle w:val="BodyText2"/>
              <w:numPr>
                <w:ilvl w:val="0"/>
                <w:numId w:val="20"/>
              </w:numPr>
              <w:ind w:left="241" w:hanging="241"/>
              <w:jc w:val="both"/>
              <w:rPr>
                <w:sz w:val="18"/>
                <w:szCs w:val="18"/>
              </w:rPr>
            </w:pPr>
            <w:r w:rsidRPr="007D23B1">
              <w:rPr>
                <w:sz w:val="18"/>
                <w:szCs w:val="18"/>
              </w:rPr>
              <w:t>le ammissioni all'esito delle valutazioni dei requisiti soggettivi, economico-finanziari e tecnico-professionali;</w:t>
            </w:r>
          </w:p>
          <w:p w:rsidR="006D4C4B" w:rsidRPr="007D23B1" w:rsidRDefault="006D4C4B" w:rsidP="00EE4AD0">
            <w:pPr>
              <w:pStyle w:val="BodyText2"/>
              <w:keepNext/>
              <w:numPr>
                <w:ilvl w:val="0"/>
                <w:numId w:val="20"/>
              </w:numPr>
              <w:ind w:left="241" w:hanging="241"/>
              <w:jc w:val="both"/>
              <w:outlineLvl w:val="4"/>
              <w:rPr>
                <w:sz w:val="18"/>
                <w:szCs w:val="18"/>
              </w:rPr>
            </w:pPr>
            <w:r w:rsidRPr="007D23B1">
              <w:rPr>
                <w:sz w:val="18"/>
                <w:szCs w:val="18"/>
              </w:rPr>
              <w:t>la composizione della Commissione giudicatrice di gara e i relativi curricula dei suoi componenti.</w:t>
            </w:r>
          </w:p>
        </w:tc>
        <w:tc>
          <w:tcPr>
            <w:tcW w:w="690" w:type="pct"/>
            <w:vAlign w:val="center"/>
          </w:tcPr>
          <w:p w:rsidR="006D4C4B" w:rsidRPr="007D23B1" w:rsidRDefault="006D4C4B" w:rsidP="006D4C4B">
            <w:pPr>
              <w:spacing w:line="240" w:lineRule="auto"/>
              <w:jc w:val="left"/>
              <w:rPr>
                <w:rFonts w:eastAsia="Arial Unicode MS" w:cs="Tahoma"/>
                <w:sz w:val="18"/>
                <w:szCs w:val="18"/>
                <w:lang w:val="de-DE"/>
              </w:rPr>
            </w:pPr>
            <w:r w:rsidRPr="007D23B1">
              <w:rPr>
                <w:rFonts w:eastAsia="Arial Unicode MS" w:cs="Tahoma"/>
                <w:sz w:val="18"/>
                <w:szCs w:val="18"/>
                <w:lang w:val="de-DE"/>
              </w:rPr>
              <w:t>Art. 29(1) D.lgs. 50/16</w:t>
            </w:r>
          </w:p>
        </w:tc>
        <w:tc>
          <w:tcPr>
            <w:tcW w:w="254" w:type="pct"/>
            <w:vAlign w:val="center"/>
          </w:tcPr>
          <w:p w:rsidR="006D4C4B" w:rsidRPr="007D23B1" w:rsidRDefault="006D4C4B" w:rsidP="006D4C4B">
            <w:pPr>
              <w:spacing w:line="240" w:lineRule="auto"/>
              <w:jc w:val="left"/>
              <w:rPr>
                <w:rFonts w:cs="Tahoma"/>
                <w:sz w:val="18"/>
                <w:lang w:val="de-DE"/>
              </w:rPr>
            </w:pPr>
          </w:p>
        </w:tc>
        <w:tc>
          <w:tcPr>
            <w:tcW w:w="255" w:type="pct"/>
            <w:tcBorders>
              <w:right w:val="single" w:sz="2" w:space="0" w:color="auto"/>
            </w:tcBorders>
            <w:vAlign w:val="center"/>
          </w:tcPr>
          <w:p w:rsidR="006D4C4B" w:rsidRPr="007D23B1" w:rsidRDefault="006D4C4B" w:rsidP="006D4C4B">
            <w:pPr>
              <w:spacing w:line="240" w:lineRule="auto"/>
              <w:jc w:val="left"/>
              <w:rPr>
                <w:rFonts w:cs="Tahoma"/>
                <w:sz w:val="18"/>
                <w:lang w:val="de-DE"/>
              </w:rPr>
            </w:pPr>
          </w:p>
        </w:tc>
        <w:tc>
          <w:tcPr>
            <w:tcW w:w="258"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6D4C4B" w:rsidRPr="007D23B1" w:rsidRDefault="006D4C4B" w:rsidP="006D4C4B">
            <w:pPr>
              <w:spacing w:line="240" w:lineRule="auto"/>
              <w:jc w:val="left"/>
              <w:rPr>
                <w:rFonts w:cs="Tahoma"/>
                <w:sz w:val="18"/>
                <w:lang w:val="de-DE"/>
              </w:rPr>
            </w:pPr>
          </w:p>
        </w:tc>
        <w:tc>
          <w:tcPr>
            <w:tcW w:w="434" w:type="pct"/>
            <w:tcBorders>
              <w:left w:val="single" w:sz="2" w:space="0" w:color="auto"/>
            </w:tcBorders>
            <w:vAlign w:val="center"/>
          </w:tcPr>
          <w:p w:rsidR="006D4C4B" w:rsidRPr="007D23B1" w:rsidRDefault="006D4C4B" w:rsidP="006D4C4B">
            <w:pPr>
              <w:spacing w:line="240" w:lineRule="auto"/>
              <w:jc w:val="left"/>
              <w:rPr>
                <w:rFonts w:cs="Tahoma"/>
                <w:sz w:val="18"/>
                <w:lang w:val="de-DE"/>
              </w:rPr>
            </w:pPr>
          </w:p>
        </w:tc>
        <w:tc>
          <w:tcPr>
            <w:tcW w:w="898" w:type="pct"/>
            <w:vAlign w:val="center"/>
          </w:tcPr>
          <w:p w:rsidR="006D4C4B" w:rsidRPr="007D23B1" w:rsidRDefault="006D4C4B" w:rsidP="006D4C4B">
            <w:pPr>
              <w:spacing w:line="240" w:lineRule="auto"/>
              <w:jc w:val="left"/>
              <w:rPr>
                <w:rFonts w:cs="Tahoma"/>
                <w:sz w:val="18"/>
                <w:lang w:val="de-DE"/>
              </w:rPr>
            </w:pPr>
          </w:p>
        </w:tc>
      </w:tr>
      <w:tr w:rsidR="006D4C4B" w:rsidRPr="007D23B1">
        <w:trPr>
          <w:trHeight w:val="567"/>
          <w:jc w:val="center"/>
        </w:trPr>
        <w:tc>
          <w:tcPr>
            <w:tcW w:w="369" w:type="pct"/>
            <w:vAlign w:val="center"/>
          </w:tcPr>
          <w:p w:rsidR="006D4C4B" w:rsidRPr="007D23B1" w:rsidRDefault="006D4C4B" w:rsidP="006D4C4B">
            <w:pPr>
              <w:spacing w:line="240" w:lineRule="auto"/>
              <w:jc w:val="center"/>
              <w:rPr>
                <w:rFonts w:cs="Tahoma"/>
                <w:sz w:val="18"/>
                <w:lang w:val="en-GB"/>
              </w:rPr>
            </w:pPr>
            <w:r w:rsidRPr="007D23B1">
              <w:rPr>
                <w:rFonts w:cs="Tahoma"/>
                <w:sz w:val="18"/>
              </w:rPr>
              <w:t>6.b</w:t>
            </w:r>
          </w:p>
        </w:tc>
        <w:tc>
          <w:tcPr>
            <w:tcW w:w="1842" w:type="pct"/>
            <w:vAlign w:val="center"/>
          </w:tcPr>
          <w:p w:rsidR="006D4C4B" w:rsidRPr="007D23B1" w:rsidRDefault="006D4C4B" w:rsidP="006D4C4B">
            <w:pPr>
              <w:pStyle w:val="BodyText2"/>
              <w:jc w:val="both"/>
              <w:rPr>
                <w:sz w:val="18"/>
                <w:szCs w:val="18"/>
              </w:rPr>
            </w:pPr>
            <w:r w:rsidRPr="007D23B1">
              <w:rPr>
                <w:sz w:val="18"/>
                <w:szCs w:val="18"/>
              </w:rPr>
              <w:t xml:space="preserve">Contestualmente alla pubblicazione prevista sopra ovvero, </w:t>
            </w:r>
            <w:r w:rsidRPr="007D23B1">
              <w:rPr>
                <w:b/>
                <w:sz w:val="18"/>
                <w:szCs w:val="18"/>
              </w:rPr>
              <w:t>entro un termine non superiore a cinque giorni dall’adozione dell’atto</w:t>
            </w:r>
            <w:r w:rsidRPr="007D23B1">
              <w:rPr>
                <w:sz w:val="18"/>
                <w:szCs w:val="18"/>
              </w:rPr>
              <w:t xml:space="preserve">, deve essere, altresì, dato avviso ai concorrenti, mediante PEC (o strumento analogo negli altri Stati membri), del </w:t>
            </w:r>
            <w:r w:rsidRPr="007D23B1">
              <w:rPr>
                <w:sz w:val="18"/>
                <w:szCs w:val="18"/>
              </w:rPr>
              <w:lastRenderedPageBreak/>
              <w:t>provvedimento di cui sopra, indicando l'ufficio o il collegamento informatico ad accesso riservato dove sono disponibili i relativi atti.</w:t>
            </w:r>
          </w:p>
        </w:tc>
        <w:tc>
          <w:tcPr>
            <w:tcW w:w="690" w:type="pct"/>
            <w:vAlign w:val="center"/>
          </w:tcPr>
          <w:p w:rsidR="006D4C4B" w:rsidRPr="007D23B1" w:rsidRDefault="006D4C4B" w:rsidP="006D4C4B">
            <w:pPr>
              <w:spacing w:line="240" w:lineRule="auto"/>
              <w:jc w:val="left"/>
              <w:rPr>
                <w:rFonts w:eastAsia="Arial Unicode MS" w:cs="Tahoma"/>
                <w:sz w:val="18"/>
                <w:szCs w:val="18"/>
                <w:lang w:val="de-DE"/>
              </w:rPr>
            </w:pPr>
            <w:r w:rsidRPr="007D23B1">
              <w:rPr>
                <w:rFonts w:eastAsia="Arial Unicode MS" w:cs="Tahoma"/>
                <w:sz w:val="18"/>
                <w:szCs w:val="18"/>
                <w:lang w:val="de-DE"/>
              </w:rPr>
              <w:lastRenderedPageBreak/>
              <w:t>Art. 76(3)(5) D.lgs. 50/16</w:t>
            </w:r>
          </w:p>
        </w:tc>
        <w:tc>
          <w:tcPr>
            <w:tcW w:w="254" w:type="pct"/>
            <w:vAlign w:val="center"/>
          </w:tcPr>
          <w:p w:rsidR="006D4C4B" w:rsidRPr="007D23B1" w:rsidRDefault="006D4C4B" w:rsidP="006D4C4B">
            <w:pPr>
              <w:spacing w:line="240" w:lineRule="auto"/>
              <w:jc w:val="left"/>
              <w:rPr>
                <w:rFonts w:cs="Tahoma"/>
                <w:sz w:val="18"/>
                <w:lang w:val="de-DE"/>
              </w:rPr>
            </w:pPr>
          </w:p>
        </w:tc>
        <w:tc>
          <w:tcPr>
            <w:tcW w:w="255" w:type="pct"/>
            <w:tcBorders>
              <w:right w:val="single" w:sz="2" w:space="0" w:color="auto"/>
            </w:tcBorders>
            <w:vAlign w:val="center"/>
          </w:tcPr>
          <w:p w:rsidR="006D4C4B" w:rsidRPr="007D23B1" w:rsidRDefault="006D4C4B" w:rsidP="006D4C4B">
            <w:pPr>
              <w:spacing w:line="240" w:lineRule="auto"/>
              <w:jc w:val="left"/>
              <w:rPr>
                <w:rFonts w:cs="Tahoma"/>
                <w:sz w:val="18"/>
                <w:lang w:val="de-DE"/>
              </w:rPr>
            </w:pPr>
          </w:p>
        </w:tc>
        <w:tc>
          <w:tcPr>
            <w:tcW w:w="258"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6D4C4B" w:rsidRPr="007D23B1" w:rsidRDefault="006D4C4B" w:rsidP="006D4C4B">
            <w:pPr>
              <w:spacing w:line="240" w:lineRule="auto"/>
              <w:jc w:val="left"/>
              <w:rPr>
                <w:rFonts w:cs="Tahoma"/>
                <w:sz w:val="18"/>
                <w:lang w:val="de-DE"/>
              </w:rPr>
            </w:pPr>
          </w:p>
        </w:tc>
        <w:tc>
          <w:tcPr>
            <w:tcW w:w="434" w:type="pct"/>
            <w:tcBorders>
              <w:left w:val="single" w:sz="2" w:space="0" w:color="auto"/>
            </w:tcBorders>
            <w:vAlign w:val="center"/>
          </w:tcPr>
          <w:p w:rsidR="006D4C4B" w:rsidRPr="007D23B1" w:rsidRDefault="006D4C4B" w:rsidP="006D4C4B">
            <w:pPr>
              <w:spacing w:line="240" w:lineRule="auto"/>
              <w:jc w:val="left"/>
              <w:rPr>
                <w:rFonts w:cs="Tahoma"/>
                <w:sz w:val="18"/>
                <w:lang w:val="de-DE"/>
              </w:rPr>
            </w:pPr>
          </w:p>
        </w:tc>
        <w:tc>
          <w:tcPr>
            <w:tcW w:w="898" w:type="pct"/>
            <w:vAlign w:val="center"/>
          </w:tcPr>
          <w:p w:rsidR="006D4C4B" w:rsidRPr="007D23B1" w:rsidRDefault="006D4C4B" w:rsidP="006D4C4B">
            <w:pPr>
              <w:spacing w:line="240" w:lineRule="auto"/>
              <w:jc w:val="left"/>
              <w:rPr>
                <w:rFonts w:cs="Tahoma"/>
                <w:sz w:val="18"/>
                <w:lang w:val="de-DE"/>
              </w:rPr>
            </w:pPr>
          </w:p>
        </w:tc>
      </w:tr>
      <w:tr w:rsidR="007B0CE3" w:rsidRPr="007825B5">
        <w:trPr>
          <w:trHeight w:val="567"/>
          <w:jc w:val="center"/>
        </w:trPr>
        <w:tc>
          <w:tcPr>
            <w:tcW w:w="369" w:type="pct"/>
            <w:vAlign w:val="center"/>
          </w:tcPr>
          <w:p w:rsidR="007B0CE3" w:rsidRPr="00515EB8" w:rsidRDefault="007B0CE3" w:rsidP="007B0CE3">
            <w:pPr>
              <w:spacing w:line="240" w:lineRule="auto"/>
              <w:jc w:val="center"/>
              <w:rPr>
                <w:rFonts w:cs="Tahoma"/>
                <w:sz w:val="18"/>
                <w:lang w:val="en-GB"/>
              </w:rPr>
            </w:pPr>
            <w:r>
              <w:rPr>
                <w:rFonts w:cs="Tahoma"/>
                <w:sz w:val="18"/>
                <w:lang w:val="en-GB"/>
              </w:rPr>
              <w:t>7.</w:t>
            </w:r>
          </w:p>
        </w:tc>
        <w:tc>
          <w:tcPr>
            <w:tcW w:w="1842" w:type="pct"/>
            <w:vAlign w:val="center"/>
          </w:tcPr>
          <w:p w:rsidR="007B0CE3" w:rsidRPr="008949B6" w:rsidRDefault="007B0CE3" w:rsidP="007B0CE3">
            <w:pPr>
              <w:pStyle w:val="BodyText2"/>
              <w:jc w:val="both"/>
              <w:rPr>
                <w:sz w:val="18"/>
                <w:szCs w:val="18"/>
              </w:rPr>
            </w:pPr>
            <w:r w:rsidRPr="00DB3568">
              <w:rPr>
                <w:sz w:val="18"/>
                <w:szCs w:val="18"/>
              </w:rPr>
              <w:t>Valutazione dell</w:t>
            </w:r>
            <w:r>
              <w:rPr>
                <w:sz w:val="18"/>
                <w:szCs w:val="18"/>
              </w:rPr>
              <w:t>’offerta</w:t>
            </w:r>
            <w:r w:rsidRPr="00DB3568">
              <w:rPr>
                <w:sz w:val="18"/>
                <w:szCs w:val="18"/>
              </w:rPr>
              <w:t xml:space="preserve"> e aggiudicazione dell’appalto</w:t>
            </w:r>
            <w:r>
              <w:rPr>
                <w:sz w:val="18"/>
                <w:szCs w:val="18"/>
              </w:rPr>
              <w:t>.</w:t>
            </w:r>
          </w:p>
        </w:tc>
        <w:tc>
          <w:tcPr>
            <w:tcW w:w="690" w:type="pct"/>
            <w:vAlign w:val="center"/>
          </w:tcPr>
          <w:p w:rsidR="007B0CE3" w:rsidRDefault="007B0CE3" w:rsidP="007B0CE3">
            <w:pPr>
              <w:spacing w:line="240" w:lineRule="auto"/>
              <w:jc w:val="left"/>
              <w:rPr>
                <w:rFonts w:eastAsia="Arial Unicode MS" w:cs="Tahoma"/>
                <w:sz w:val="18"/>
                <w:szCs w:val="18"/>
              </w:rPr>
            </w:pPr>
            <w:r>
              <w:rPr>
                <w:rFonts w:eastAsia="Arial Unicode MS" w:cs="Tahoma"/>
                <w:sz w:val="18"/>
                <w:szCs w:val="18"/>
              </w:rPr>
              <w:t>Art. 94 D.lgs.50/16</w:t>
            </w:r>
          </w:p>
        </w:tc>
        <w:tc>
          <w:tcPr>
            <w:tcW w:w="254" w:type="pct"/>
            <w:vAlign w:val="center"/>
          </w:tcPr>
          <w:p w:rsidR="007B0CE3" w:rsidRPr="007825B5" w:rsidRDefault="007B0CE3" w:rsidP="007B0CE3">
            <w:pPr>
              <w:spacing w:line="240" w:lineRule="auto"/>
              <w:jc w:val="left"/>
              <w:rPr>
                <w:rFonts w:cs="Tahoma"/>
                <w:sz w:val="18"/>
              </w:rPr>
            </w:pPr>
          </w:p>
        </w:tc>
        <w:tc>
          <w:tcPr>
            <w:tcW w:w="255" w:type="pct"/>
            <w:tcBorders>
              <w:right w:val="single" w:sz="2" w:space="0" w:color="auto"/>
            </w:tcBorders>
            <w:vAlign w:val="center"/>
          </w:tcPr>
          <w:p w:rsidR="007B0CE3" w:rsidRPr="007825B5" w:rsidRDefault="007B0CE3" w:rsidP="007B0CE3">
            <w:pPr>
              <w:spacing w:line="240" w:lineRule="auto"/>
              <w:jc w:val="left"/>
              <w:rPr>
                <w:rFonts w:cs="Tahoma"/>
                <w:sz w:val="18"/>
              </w:rPr>
            </w:pPr>
          </w:p>
        </w:tc>
        <w:tc>
          <w:tcPr>
            <w:tcW w:w="258"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rsidR="007B0CE3" w:rsidRPr="007825B5" w:rsidRDefault="007B0CE3" w:rsidP="007B0CE3">
            <w:pPr>
              <w:spacing w:line="240" w:lineRule="auto"/>
              <w:jc w:val="left"/>
              <w:rPr>
                <w:rFonts w:cs="Tahoma"/>
                <w:sz w:val="18"/>
              </w:rPr>
            </w:pPr>
          </w:p>
        </w:tc>
        <w:tc>
          <w:tcPr>
            <w:tcW w:w="434" w:type="pct"/>
            <w:tcBorders>
              <w:left w:val="single" w:sz="2" w:space="0" w:color="auto"/>
            </w:tcBorders>
            <w:vAlign w:val="center"/>
          </w:tcPr>
          <w:p w:rsidR="007B0CE3" w:rsidRPr="007825B5" w:rsidRDefault="007B0CE3" w:rsidP="007B0CE3">
            <w:pPr>
              <w:spacing w:line="240" w:lineRule="auto"/>
              <w:jc w:val="left"/>
              <w:rPr>
                <w:rFonts w:cs="Tahoma"/>
                <w:sz w:val="18"/>
              </w:rPr>
            </w:pPr>
          </w:p>
        </w:tc>
        <w:tc>
          <w:tcPr>
            <w:tcW w:w="898" w:type="pct"/>
            <w:vAlign w:val="center"/>
          </w:tcPr>
          <w:p w:rsidR="007B0CE3" w:rsidRPr="007825B5" w:rsidRDefault="007B0CE3" w:rsidP="007B0CE3">
            <w:pPr>
              <w:spacing w:line="240" w:lineRule="auto"/>
              <w:jc w:val="left"/>
              <w:rPr>
                <w:rFonts w:cs="Tahoma"/>
                <w:sz w:val="18"/>
              </w:rPr>
            </w:pPr>
          </w:p>
        </w:tc>
      </w:tr>
      <w:tr w:rsidR="007B0CE3" w:rsidRPr="007825B5">
        <w:trPr>
          <w:trHeight w:val="567"/>
          <w:jc w:val="center"/>
        </w:trPr>
        <w:tc>
          <w:tcPr>
            <w:tcW w:w="369" w:type="pct"/>
            <w:vAlign w:val="center"/>
          </w:tcPr>
          <w:p w:rsidR="007B0CE3" w:rsidRPr="00617D19" w:rsidRDefault="007B0CE3" w:rsidP="007B0CE3">
            <w:pPr>
              <w:spacing w:line="240" w:lineRule="auto"/>
              <w:jc w:val="center"/>
              <w:rPr>
                <w:rFonts w:cs="Tahoma"/>
                <w:sz w:val="18"/>
                <w:lang w:val="en-GB"/>
              </w:rPr>
            </w:pPr>
            <w:r>
              <w:rPr>
                <w:rFonts w:cs="Tahoma"/>
                <w:sz w:val="18"/>
                <w:lang w:val="en-GB"/>
              </w:rPr>
              <w:t>8</w:t>
            </w:r>
            <w:r w:rsidRPr="00617D19">
              <w:rPr>
                <w:rFonts w:cs="Tahoma"/>
                <w:sz w:val="18"/>
                <w:lang w:val="en-GB"/>
              </w:rPr>
              <w:t>.</w:t>
            </w:r>
          </w:p>
        </w:tc>
        <w:tc>
          <w:tcPr>
            <w:tcW w:w="1842" w:type="pct"/>
            <w:vAlign w:val="center"/>
          </w:tcPr>
          <w:p w:rsidR="007B0CE3" w:rsidRPr="00B951FA" w:rsidRDefault="007B0CE3" w:rsidP="007B0CE3">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w:t>
            </w:r>
          </w:p>
        </w:tc>
        <w:tc>
          <w:tcPr>
            <w:tcW w:w="690" w:type="pct"/>
            <w:vAlign w:val="center"/>
          </w:tcPr>
          <w:p w:rsidR="007B0CE3" w:rsidRDefault="007B0CE3" w:rsidP="007B0CE3">
            <w:pPr>
              <w:spacing w:line="240" w:lineRule="auto"/>
              <w:jc w:val="left"/>
              <w:rPr>
                <w:rFonts w:eastAsia="Arial Unicode M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4.2.7</w:t>
            </w:r>
          </w:p>
        </w:tc>
        <w:tc>
          <w:tcPr>
            <w:tcW w:w="254" w:type="pct"/>
            <w:vAlign w:val="center"/>
          </w:tcPr>
          <w:p w:rsidR="007B0CE3" w:rsidRPr="007825B5" w:rsidRDefault="007B0CE3" w:rsidP="007B0CE3">
            <w:pPr>
              <w:spacing w:line="240" w:lineRule="auto"/>
              <w:jc w:val="left"/>
              <w:rPr>
                <w:rFonts w:cs="Tahoma"/>
                <w:sz w:val="18"/>
              </w:rPr>
            </w:pPr>
          </w:p>
        </w:tc>
        <w:tc>
          <w:tcPr>
            <w:tcW w:w="255" w:type="pct"/>
            <w:tcBorders>
              <w:right w:val="single" w:sz="12" w:space="0" w:color="auto"/>
            </w:tcBorders>
            <w:vAlign w:val="center"/>
          </w:tcPr>
          <w:p w:rsidR="007B0CE3" w:rsidRPr="007825B5" w:rsidRDefault="007B0CE3" w:rsidP="007B0CE3">
            <w:pPr>
              <w:spacing w:line="240" w:lineRule="auto"/>
              <w:jc w:val="left"/>
              <w:rPr>
                <w:rFonts w:cs="Tahoma"/>
                <w:sz w:val="18"/>
              </w:rPr>
            </w:pPr>
          </w:p>
        </w:tc>
        <w:tc>
          <w:tcPr>
            <w:tcW w:w="25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B0CE3" w:rsidRPr="00CC0A1D" w:rsidRDefault="007B0CE3" w:rsidP="007B0CE3">
            <w:pPr>
              <w:spacing w:line="240" w:lineRule="auto"/>
              <w:jc w:val="left"/>
              <w:rPr>
                <w:rFonts w:cs="Tahoma"/>
                <w:sz w:val="18"/>
              </w:rPr>
            </w:pPr>
          </w:p>
        </w:tc>
        <w:tc>
          <w:tcPr>
            <w:tcW w:w="434" w:type="pct"/>
            <w:tcBorders>
              <w:left w:val="single" w:sz="12" w:space="0" w:color="auto"/>
            </w:tcBorders>
            <w:vAlign w:val="center"/>
          </w:tcPr>
          <w:p w:rsidR="007B0CE3" w:rsidRPr="00CC0A1D" w:rsidRDefault="007B0CE3" w:rsidP="007B0CE3">
            <w:pPr>
              <w:spacing w:line="240" w:lineRule="auto"/>
              <w:jc w:val="left"/>
              <w:rPr>
                <w:rFonts w:cs="Tahoma"/>
                <w:sz w:val="18"/>
              </w:rPr>
            </w:pPr>
          </w:p>
        </w:tc>
        <w:tc>
          <w:tcPr>
            <w:tcW w:w="898" w:type="pct"/>
            <w:vAlign w:val="center"/>
          </w:tcPr>
          <w:p w:rsidR="007B0CE3" w:rsidRPr="007825B5" w:rsidRDefault="007B0CE3" w:rsidP="007B0CE3">
            <w:pPr>
              <w:spacing w:line="240" w:lineRule="auto"/>
              <w:jc w:val="left"/>
              <w:rPr>
                <w:rFonts w:cs="Tahoma"/>
                <w:sz w:val="18"/>
              </w:rPr>
            </w:pPr>
          </w:p>
        </w:tc>
      </w:tr>
      <w:tr w:rsidR="007B0CE3">
        <w:trPr>
          <w:trHeight w:val="274"/>
          <w:jc w:val="center"/>
        </w:trPr>
        <w:tc>
          <w:tcPr>
            <w:tcW w:w="369" w:type="pct"/>
            <w:vAlign w:val="center"/>
          </w:tcPr>
          <w:p w:rsidR="007B0CE3" w:rsidRPr="00617D19" w:rsidRDefault="007B0CE3" w:rsidP="007B0CE3">
            <w:pPr>
              <w:spacing w:line="240" w:lineRule="auto"/>
              <w:jc w:val="center"/>
              <w:rPr>
                <w:rFonts w:cs="Tahoma"/>
                <w:sz w:val="18"/>
              </w:rPr>
            </w:pPr>
            <w:r>
              <w:rPr>
                <w:rFonts w:cs="Tahoma"/>
                <w:sz w:val="18"/>
              </w:rPr>
              <w:t>9</w:t>
            </w:r>
            <w:r w:rsidRPr="00617D19">
              <w:rPr>
                <w:rFonts w:cs="Tahoma"/>
                <w:sz w:val="18"/>
              </w:rPr>
              <w:t>.</w:t>
            </w:r>
          </w:p>
        </w:tc>
        <w:tc>
          <w:tcPr>
            <w:tcW w:w="1842" w:type="pct"/>
            <w:vAlign w:val="center"/>
          </w:tcPr>
          <w:p w:rsidR="007B0CE3" w:rsidRPr="00767479" w:rsidRDefault="007B0CE3" w:rsidP="007B0CE3">
            <w:pPr>
              <w:tabs>
                <w:tab w:val="left" w:pos="851"/>
              </w:tabs>
              <w:autoSpaceDE w:val="0"/>
              <w:autoSpaceDN w:val="0"/>
              <w:adjustRightInd w:val="0"/>
              <w:spacing w:after="120" w:line="240" w:lineRule="auto"/>
            </w:pPr>
            <w:r w:rsidRPr="00B8128A">
              <w:rPr>
                <w:rFonts w:cs="Tahoma"/>
                <w:sz w:val="18"/>
                <w:szCs w:val="18"/>
              </w:rPr>
              <w:t xml:space="preserve">Comunicazione </w:t>
            </w:r>
            <w:r>
              <w:rPr>
                <w:rFonts w:cs="Tahoma"/>
                <w:sz w:val="18"/>
                <w:szCs w:val="18"/>
              </w:rPr>
              <w:t xml:space="preserve">d’ufficio </w:t>
            </w:r>
            <w:r w:rsidRPr="00B8128A">
              <w:rPr>
                <w:rFonts w:cs="Tahoma"/>
                <w:sz w:val="18"/>
                <w:szCs w:val="18"/>
              </w:rPr>
              <w:t>dell’aggiudicazione</w:t>
            </w:r>
            <w:r>
              <w:rPr>
                <w:rFonts w:cs="Tahoma"/>
                <w:sz w:val="18"/>
                <w:szCs w:val="18"/>
              </w:rPr>
              <w:t xml:space="preserve"> definitiva</w:t>
            </w:r>
            <w:r w:rsidRPr="00B8128A">
              <w:rPr>
                <w:rFonts w:cs="Tahoma"/>
                <w:sz w:val="18"/>
                <w:szCs w:val="18"/>
              </w:rPr>
              <w:t xml:space="preserve"> (tempestivamente e comunque entro un termine non superiore a cinque giorni) all'aggiudicatario</w:t>
            </w:r>
            <w:r w:rsidRPr="00DD0314">
              <w:rPr>
                <w:rFonts w:cs="Tahoma"/>
                <w:sz w:val="18"/>
                <w:szCs w:val="18"/>
              </w:rPr>
              <w:t>.</w:t>
            </w:r>
          </w:p>
        </w:tc>
        <w:tc>
          <w:tcPr>
            <w:tcW w:w="690" w:type="pct"/>
            <w:vAlign w:val="center"/>
          </w:tcPr>
          <w:p w:rsidR="007B0CE3" w:rsidRDefault="007B0CE3" w:rsidP="007B0CE3">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4" w:type="pct"/>
            <w:tcBorders>
              <w:right w:val="single" w:sz="2" w:space="0" w:color="auto"/>
            </w:tcBorders>
            <w:vAlign w:val="center"/>
          </w:tcPr>
          <w:p w:rsidR="007B0CE3" w:rsidRDefault="007B0CE3" w:rsidP="007B0CE3">
            <w:pPr>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2" w:space="0" w:color="auto"/>
            </w:tcBorders>
            <w:vAlign w:val="center"/>
          </w:tcPr>
          <w:p w:rsidR="007B0CE3" w:rsidRDefault="007B0CE3" w:rsidP="007B0CE3">
            <w:pPr>
              <w:spacing w:line="240" w:lineRule="auto"/>
              <w:jc w:val="left"/>
              <w:rPr>
                <w:rFonts w:cs="Tahoma"/>
                <w:sz w:val="18"/>
                <w:lang w:val="de-DE"/>
              </w:rPr>
            </w:pPr>
          </w:p>
        </w:tc>
        <w:tc>
          <w:tcPr>
            <w:tcW w:w="258" w:type="pct"/>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rsidR="007B0CE3" w:rsidRDefault="007B0CE3" w:rsidP="007B0CE3">
            <w:pPr>
              <w:spacing w:line="240" w:lineRule="auto"/>
              <w:jc w:val="left"/>
              <w:rPr>
                <w:rFonts w:cs="Tahoma"/>
                <w:sz w:val="18"/>
                <w:lang w:val="de-DE"/>
              </w:rPr>
            </w:pPr>
          </w:p>
        </w:tc>
        <w:tc>
          <w:tcPr>
            <w:tcW w:w="434" w:type="pct"/>
            <w:tcBorders>
              <w:left w:val="single" w:sz="2" w:space="0" w:color="auto"/>
            </w:tcBorders>
            <w:vAlign w:val="center"/>
          </w:tcPr>
          <w:p w:rsidR="007B0CE3" w:rsidRDefault="007B0CE3" w:rsidP="007B0CE3">
            <w:pPr>
              <w:spacing w:line="240" w:lineRule="auto"/>
              <w:jc w:val="left"/>
              <w:rPr>
                <w:rFonts w:cs="Tahoma"/>
                <w:sz w:val="18"/>
                <w:lang w:val="de-DE"/>
              </w:rPr>
            </w:pPr>
          </w:p>
        </w:tc>
        <w:tc>
          <w:tcPr>
            <w:tcW w:w="898" w:type="pct"/>
            <w:vAlign w:val="center"/>
          </w:tcPr>
          <w:p w:rsidR="007B0CE3" w:rsidRDefault="007B0CE3" w:rsidP="007B0CE3">
            <w:pPr>
              <w:spacing w:line="240" w:lineRule="auto"/>
              <w:jc w:val="left"/>
              <w:rPr>
                <w:rFonts w:cs="Tahoma"/>
                <w:sz w:val="18"/>
                <w:lang w:val="de-DE"/>
              </w:rPr>
            </w:pPr>
          </w:p>
        </w:tc>
      </w:tr>
      <w:tr w:rsidR="007B0CE3" w:rsidRPr="00515EB8">
        <w:trPr>
          <w:trHeight w:val="567"/>
          <w:jc w:val="center"/>
        </w:trPr>
        <w:tc>
          <w:tcPr>
            <w:tcW w:w="369" w:type="pct"/>
            <w:vAlign w:val="center"/>
          </w:tcPr>
          <w:p w:rsidR="007B0CE3" w:rsidRDefault="007B0CE3" w:rsidP="007B0CE3">
            <w:pPr>
              <w:spacing w:line="240" w:lineRule="auto"/>
              <w:jc w:val="center"/>
              <w:rPr>
                <w:rFonts w:cs="Tahoma"/>
                <w:sz w:val="18"/>
              </w:rPr>
            </w:pPr>
            <w:r>
              <w:rPr>
                <w:rFonts w:cs="Tahoma"/>
                <w:sz w:val="18"/>
              </w:rPr>
              <w:t>10.</w:t>
            </w:r>
          </w:p>
        </w:tc>
        <w:tc>
          <w:tcPr>
            <w:tcW w:w="1842" w:type="pct"/>
            <w:vAlign w:val="center"/>
          </w:tcPr>
          <w:p w:rsidR="007B0CE3" w:rsidRPr="00BC6B90" w:rsidRDefault="007B0CE3" w:rsidP="007B0CE3">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Pr="004747C3">
              <w:rPr>
                <w:rFonts w:cs="Tahoma"/>
                <w:sz w:val="18"/>
                <w:szCs w:val="18"/>
              </w:rPr>
              <w:t xml:space="preserve">è pubblicato </w:t>
            </w:r>
            <w:r w:rsidRPr="00304A25">
              <w:rPr>
                <w:rFonts w:cs="Tahoma"/>
                <w:sz w:val="18"/>
                <w:szCs w:val="18"/>
              </w:rPr>
              <w:t xml:space="preserve">sul </w:t>
            </w:r>
            <w:r>
              <w:rPr>
                <w:rFonts w:cs="Tahoma"/>
                <w:sz w:val="18"/>
                <w:szCs w:val="18"/>
              </w:rPr>
              <w:t>p</w:t>
            </w:r>
            <w:r w:rsidRPr="00304A25">
              <w:rPr>
                <w:rFonts w:cs="Tahoma"/>
                <w:sz w:val="18"/>
                <w:szCs w:val="18"/>
              </w:rPr>
              <w:t>rofilo del committente, nella sezione "Amminis</w:t>
            </w:r>
            <w:r>
              <w:rPr>
                <w:rFonts w:cs="Tahoma"/>
                <w:sz w:val="18"/>
                <w:szCs w:val="18"/>
              </w:rPr>
              <w:t>trazione trasparente"</w:t>
            </w:r>
            <w:r w:rsidRPr="00304A25">
              <w:rPr>
                <w:rFonts w:cs="Tahoma"/>
                <w:sz w:val="18"/>
                <w:szCs w:val="18"/>
              </w:rPr>
              <w:t xml:space="preserve"> </w:t>
            </w:r>
            <w:r w:rsidRPr="00723B07">
              <w:rPr>
                <w:rFonts w:cs="Tahoma"/>
                <w:sz w:val="18"/>
                <w:szCs w:val="18"/>
              </w:rPr>
              <w:t>entro trenta giorni dall'aggiudicazione dell'appalto</w:t>
            </w:r>
            <w:r w:rsidRPr="004747C3">
              <w:rPr>
                <w:rFonts w:cs="Tahoma"/>
                <w:sz w:val="18"/>
                <w:szCs w:val="18"/>
              </w:rPr>
              <w:t>.</w:t>
            </w:r>
          </w:p>
        </w:tc>
        <w:tc>
          <w:tcPr>
            <w:tcW w:w="690" w:type="pct"/>
            <w:vAlign w:val="center"/>
          </w:tcPr>
          <w:p w:rsidR="007B0CE3" w:rsidRDefault="007B0CE3" w:rsidP="007B0CE3">
            <w:pPr>
              <w:spacing w:line="240" w:lineRule="auto"/>
              <w:jc w:val="left"/>
              <w:rPr>
                <w:rFonts w:cs="Tahoma"/>
                <w:sz w:val="18"/>
                <w:szCs w:val="18"/>
              </w:rPr>
            </w:pPr>
            <w:r w:rsidRPr="00FD6C47">
              <w:rPr>
                <w:rFonts w:cs="Tahoma"/>
                <w:sz w:val="18"/>
                <w:szCs w:val="18"/>
                <w:lang w:val="de-DE"/>
              </w:rPr>
              <w:t xml:space="preserve">Art. 29(1e 4)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rsidR="007B0CE3" w:rsidRPr="00FD6C47" w:rsidRDefault="007B0CE3" w:rsidP="007B0CE3">
            <w:pPr>
              <w:spacing w:line="240" w:lineRule="auto"/>
              <w:jc w:val="left"/>
              <w:rPr>
                <w:rFonts w:cs="Tahoma"/>
                <w:sz w:val="18"/>
                <w:szCs w:val="18"/>
                <w:lang w:val="de-DE"/>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FD6C47">
              <w:rPr>
                <w:rFonts w:cs="Tahoma"/>
                <w:sz w:val="18"/>
                <w:szCs w:val="18"/>
                <w:lang w:val="de-DE"/>
              </w:rPr>
              <w:t>, punto 2.4</w:t>
            </w:r>
          </w:p>
        </w:tc>
        <w:tc>
          <w:tcPr>
            <w:tcW w:w="254" w:type="pct"/>
            <w:tcBorders>
              <w:right w:val="single" w:sz="2" w:space="0" w:color="auto"/>
            </w:tcBorders>
            <w:vAlign w:val="center"/>
          </w:tcPr>
          <w:p w:rsidR="007B0CE3" w:rsidRPr="00FD6C47" w:rsidRDefault="007B0CE3" w:rsidP="007B0CE3">
            <w:pPr>
              <w:spacing w:line="240" w:lineRule="auto"/>
              <w:jc w:val="left"/>
              <w:rPr>
                <w:rFonts w:cs="Tahoma"/>
                <w:sz w:val="18"/>
                <w:lang w:val="de-DE"/>
              </w:rPr>
            </w:pPr>
          </w:p>
        </w:tc>
        <w:tc>
          <w:tcPr>
            <w:tcW w:w="255" w:type="pct"/>
            <w:tcBorders>
              <w:top w:val="single" w:sz="2" w:space="0" w:color="auto"/>
              <w:left w:val="single" w:sz="2" w:space="0" w:color="auto"/>
              <w:bottom w:val="single" w:sz="2" w:space="0" w:color="auto"/>
              <w:right w:val="single" w:sz="12" w:space="0" w:color="auto"/>
            </w:tcBorders>
            <w:vAlign w:val="center"/>
          </w:tcPr>
          <w:p w:rsidR="007B0CE3" w:rsidRPr="00FD6C47" w:rsidRDefault="007B0CE3" w:rsidP="007B0CE3">
            <w:pPr>
              <w:spacing w:line="240" w:lineRule="auto"/>
              <w:jc w:val="left"/>
              <w:rPr>
                <w:rFonts w:cs="Tahoma"/>
                <w:sz w:val="18"/>
                <w:lang w:val="de-DE"/>
              </w:rPr>
            </w:pPr>
          </w:p>
        </w:tc>
        <w:tc>
          <w:tcPr>
            <w:tcW w:w="25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B0CE3" w:rsidRPr="00FD6C47" w:rsidRDefault="007B0CE3" w:rsidP="007B0CE3">
            <w:pPr>
              <w:spacing w:line="240" w:lineRule="auto"/>
              <w:jc w:val="left"/>
              <w:rPr>
                <w:rFonts w:cs="Tahoma"/>
                <w:sz w:val="18"/>
                <w:lang w:val="de-DE"/>
              </w:rPr>
            </w:pPr>
          </w:p>
        </w:tc>
        <w:tc>
          <w:tcPr>
            <w:tcW w:w="434" w:type="pct"/>
            <w:tcBorders>
              <w:left w:val="single" w:sz="12" w:space="0" w:color="auto"/>
            </w:tcBorders>
            <w:vAlign w:val="center"/>
          </w:tcPr>
          <w:p w:rsidR="007B0CE3" w:rsidRPr="00FD6C47" w:rsidRDefault="007B0CE3" w:rsidP="007B0CE3">
            <w:pPr>
              <w:spacing w:line="240" w:lineRule="auto"/>
              <w:jc w:val="left"/>
              <w:rPr>
                <w:rFonts w:cs="Tahoma"/>
                <w:sz w:val="18"/>
                <w:lang w:val="de-DE"/>
              </w:rPr>
            </w:pPr>
          </w:p>
        </w:tc>
        <w:tc>
          <w:tcPr>
            <w:tcW w:w="898" w:type="pct"/>
            <w:vAlign w:val="center"/>
          </w:tcPr>
          <w:p w:rsidR="007B0CE3" w:rsidRPr="00FD6C47" w:rsidRDefault="007B0CE3" w:rsidP="007B0CE3">
            <w:pPr>
              <w:spacing w:line="240" w:lineRule="auto"/>
              <w:jc w:val="left"/>
              <w:rPr>
                <w:rFonts w:cs="Tahoma"/>
                <w:sz w:val="18"/>
                <w:lang w:val="de-DE"/>
              </w:rPr>
            </w:pPr>
          </w:p>
        </w:tc>
      </w:tr>
      <w:tr w:rsidR="007B0CE3" w:rsidRPr="00BD728B">
        <w:trPr>
          <w:trHeight w:val="567"/>
          <w:jc w:val="center"/>
        </w:trPr>
        <w:tc>
          <w:tcPr>
            <w:tcW w:w="369" w:type="pct"/>
            <w:vAlign w:val="center"/>
          </w:tcPr>
          <w:p w:rsidR="007B0CE3" w:rsidRDefault="007B0CE3" w:rsidP="007B0CE3">
            <w:pPr>
              <w:jc w:val="center"/>
              <w:rPr>
                <w:rFonts w:cs="Tahoma"/>
                <w:sz w:val="18"/>
              </w:rPr>
            </w:pPr>
            <w:r>
              <w:rPr>
                <w:rFonts w:cs="Tahoma"/>
                <w:sz w:val="18"/>
              </w:rPr>
              <w:t>11.</w:t>
            </w:r>
          </w:p>
        </w:tc>
        <w:tc>
          <w:tcPr>
            <w:tcW w:w="1842" w:type="pct"/>
            <w:vAlign w:val="center"/>
          </w:tcPr>
          <w:p w:rsidR="007B0CE3" w:rsidRPr="00BD728B" w:rsidRDefault="007B0CE3" w:rsidP="007B0CE3">
            <w:pPr>
              <w:tabs>
                <w:tab w:val="num" w:pos="360"/>
              </w:tabs>
              <w:ind w:left="360" w:hanging="360"/>
              <w:rPr>
                <w:rFonts w:cs="Tahoma"/>
                <w:color w:val="000000"/>
                <w:sz w:val="18"/>
                <w:szCs w:val="18"/>
              </w:rPr>
            </w:pPr>
            <w:r w:rsidRPr="00BD728B">
              <w:rPr>
                <w:rFonts w:cs="Tahoma"/>
                <w:color w:val="000000"/>
                <w:sz w:val="18"/>
                <w:szCs w:val="18"/>
              </w:rPr>
              <w:t>Stipula del contratto di appalto</w:t>
            </w:r>
            <w:r>
              <w:rPr>
                <w:rFonts w:cs="Tahoma"/>
                <w:color w:val="000000"/>
                <w:sz w:val="18"/>
                <w:szCs w:val="18"/>
              </w:rPr>
              <w:t>.</w:t>
            </w:r>
          </w:p>
        </w:tc>
        <w:tc>
          <w:tcPr>
            <w:tcW w:w="690" w:type="pct"/>
            <w:vAlign w:val="center"/>
          </w:tcPr>
          <w:p w:rsidR="007B0CE3" w:rsidRDefault="007B0CE3" w:rsidP="007B0CE3">
            <w:pPr>
              <w:jc w:val="left"/>
              <w:rPr>
                <w:rFonts w:cs="Tahoma"/>
                <w:sz w:val="18"/>
                <w:szCs w:val="18"/>
              </w:rPr>
            </w:pPr>
            <w:r>
              <w:rPr>
                <w:rFonts w:cs="Tahoma"/>
                <w:sz w:val="18"/>
                <w:szCs w:val="18"/>
              </w:rPr>
              <w:t>Art. 32(10b e 14), D.lgs. 50/16</w:t>
            </w:r>
          </w:p>
          <w:p w:rsidR="007B0CE3" w:rsidRPr="00BD728B" w:rsidRDefault="007B0CE3" w:rsidP="007B0CE3">
            <w:pPr>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FD6C47">
              <w:rPr>
                <w:rFonts w:cs="Tahoma"/>
                <w:sz w:val="18"/>
                <w:szCs w:val="18"/>
                <w:lang w:val="de-DE"/>
              </w:rPr>
              <w:t>, punti 3.4</w:t>
            </w:r>
          </w:p>
        </w:tc>
        <w:tc>
          <w:tcPr>
            <w:tcW w:w="254" w:type="pct"/>
            <w:tcBorders>
              <w:right w:val="single" w:sz="2" w:space="0" w:color="auto"/>
            </w:tcBorders>
            <w:vAlign w:val="center"/>
          </w:tcPr>
          <w:p w:rsidR="007B0CE3" w:rsidRPr="00BD728B" w:rsidRDefault="007B0CE3" w:rsidP="007B0CE3">
            <w:pPr>
              <w:spacing w:line="240" w:lineRule="auto"/>
              <w:jc w:val="left"/>
              <w:rPr>
                <w:rFonts w:cs="Tahoma"/>
                <w:sz w:val="18"/>
              </w:rPr>
            </w:pPr>
          </w:p>
        </w:tc>
        <w:tc>
          <w:tcPr>
            <w:tcW w:w="255" w:type="pct"/>
            <w:tcBorders>
              <w:top w:val="single" w:sz="2" w:space="0" w:color="auto"/>
              <w:left w:val="single" w:sz="2" w:space="0" w:color="auto"/>
              <w:bottom w:val="single" w:sz="2" w:space="0" w:color="auto"/>
            </w:tcBorders>
            <w:vAlign w:val="center"/>
          </w:tcPr>
          <w:p w:rsidR="007B0CE3" w:rsidRPr="00BD728B" w:rsidRDefault="007B0CE3" w:rsidP="007B0CE3">
            <w:pPr>
              <w:spacing w:line="240" w:lineRule="auto"/>
              <w:jc w:val="left"/>
              <w:rPr>
                <w:rFonts w:cs="Tahoma"/>
                <w:sz w:val="18"/>
              </w:rPr>
            </w:pPr>
          </w:p>
        </w:tc>
        <w:tc>
          <w:tcPr>
            <w:tcW w:w="258" w:type="pct"/>
            <w:shd w:val="clear" w:color="auto" w:fill="D9D9D9" w:themeFill="background1" w:themeFillShade="D9"/>
            <w:vAlign w:val="center"/>
          </w:tcPr>
          <w:p w:rsidR="007B0CE3" w:rsidRPr="00BD728B" w:rsidRDefault="007B0CE3" w:rsidP="007B0CE3">
            <w:pPr>
              <w:spacing w:line="240" w:lineRule="auto"/>
              <w:jc w:val="left"/>
              <w:rPr>
                <w:rFonts w:cs="Tahoma"/>
                <w:sz w:val="18"/>
              </w:rPr>
            </w:pPr>
          </w:p>
        </w:tc>
        <w:tc>
          <w:tcPr>
            <w:tcW w:w="434" w:type="pct"/>
            <w:vAlign w:val="center"/>
          </w:tcPr>
          <w:p w:rsidR="007B0CE3" w:rsidRPr="00BD728B" w:rsidRDefault="007B0CE3" w:rsidP="007B0CE3">
            <w:pPr>
              <w:spacing w:line="240" w:lineRule="auto"/>
              <w:jc w:val="left"/>
              <w:rPr>
                <w:rFonts w:cs="Tahoma"/>
                <w:sz w:val="18"/>
              </w:rPr>
            </w:pPr>
          </w:p>
        </w:tc>
        <w:tc>
          <w:tcPr>
            <w:tcW w:w="898" w:type="pct"/>
            <w:vAlign w:val="center"/>
          </w:tcPr>
          <w:p w:rsidR="007B0CE3" w:rsidRPr="00BD728B" w:rsidRDefault="007B0CE3" w:rsidP="007B0CE3">
            <w:pPr>
              <w:spacing w:line="240" w:lineRule="auto"/>
              <w:jc w:val="left"/>
              <w:rPr>
                <w:rFonts w:cs="Tahoma"/>
                <w:sz w:val="18"/>
              </w:rPr>
            </w:pPr>
          </w:p>
        </w:tc>
      </w:tr>
      <w:tr w:rsidR="007B0CE3" w:rsidRPr="00BD728B">
        <w:trPr>
          <w:trHeight w:val="567"/>
          <w:jc w:val="center"/>
        </w:trPr>
        <w:tc>
          <w:tcPr>
            <w:tcW w:w="369" w:type="pct"/>
            <w:tcBorders>
              <w:bottom w:val="single" w:sz="4" w:space="0" w:color="auto"/>
            </w:tcBorders>
            <w:vAlign w:val="center"/>
          </w:tcPr>
          <w:p w:rsidR="007B0CE3" w:rsidRDefault="007B0CE3" w:rsidP="007B0CE3">
            <w:pPr>
              <w:spacing w:line="240" w:lineRule="auto"/>
              <w:jc w:val="center"/>
              <w:rPr>
                <w:rFonts w:cs="Tahoma"/>
                <w:sz w:val="18"/>
              </w:rPr>
            </w:pPr>
            <w:r>
              <w:rPr>
                <w:rFonts w:cs="Tahoma"/>
                <w:sz w:val="18"/>
              </w:rPr>
              <w:t>12.</w:t>
            </w:r>
          </w:p>
        </w:tc>
        <w:tc>
          <w:tcPr>
            <w:tcW w:w="1842" w:type="pct"/>
            <w:tcBorders>
              <w:bottom w:val="single" w:sz="4" w:space="0" w:color="auto"/>
            </w:tcBorders>
            <w:vAlign w:val="center"/>
          </w:tcPr>
          <w:p w:rsidR="007B0CE3" w:rsidRPr="00BD728B" w:rsidRDefault="007B0CE3" w:rsidP="007B0CE3">
            <w:pPr>
              <w:tabs>
                <w:tab w:val="num" w:pos="0"/>
              </w:tabs>
              <w:spacing w:line="240" w:lineRule="auto"/>
              <w:rPr>
                <w:rFonts w:cs="Tahoma"/>
                <w:color w:val="000000"/>
                <w:sz w:val="18"/>
                <w:szCs w:val="18"/>
              </w:rPr>
            </w:pPr>
            <w:r w:rsidRPr="00FD6C47">
              <w:rPr>
                <w:rFonts w:cs="Tahoma"/>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690" w:type="pct"/>
            <w:tcBorders>
              <w:bottom w:val="single" w:sz="4" w:space="0" w:color="auto"/>
            </w:tcBorders>
            <w:vAlign w:val="center"/>
          </w:tcPr>
          <w:p w:rsidR="007B0CE3" w:rsidRPr="00E60684" w:rsidRDefault="007B0CE3" w:rsidP="007B0CE3">
            <w:pPr>
              <w:jc w:val="left"/>
              <w:rPr>
                <w:rFonts w:cs="Tahoma"/>
                <w:sz w:val="18"/>
                <w:szCs w:val="18"/>
              </w:rPr>
            </w:pPr>
            <w:r w:rsidRPr="00E60684">
              <w:rPr>
                <w:rFonts w:cs="Tahoma"/>
                <w:sz w:val="18"/>
                <w:szCs w:val="18"/>
              </w:rPr>
              <w:t>Art. 213 D.lgs. 50/16</w:t>
            </w:r>
          </w:p>
        </w:tc>
        <w:tc>
          <w:tcPr>
            <w:tcW w:w="254" w:type="pct"/>
            <w:tcBorders>
              <w:bottom w:val="single" w:sz="4" w:space="0" w:color="auto"/>
              <w:right w:val="single" w:sz="2" w:space="0" w:color="auto"/>
            </w:tcBorders>
            <w:vAlign w:val="center"/>
          </w:tcPr>
          <w:p w:rsidR="007B0CE3" w:rsidRPr="00BD728B" w:rsidRDefault="007B0CE3" w:rsidP="007B0CE3">
            <w:pPr>
              <w:spacing w:line="240" w:lineRule="auto"/>
              <w:jc w:val="left"/>
              <w:rPr>
                <w:rFonts w:cs="Tahoma"/>
                <w:sz w:val="18"/>
              </w:rPr>
            </w:pPr>
          </w:p>
        </w:tc>
        <w:tc>
          <w:tcPr>
            <w:tcW w:w="255" w:type="pct"/>
            <w:tcBorders>
              <w:top w:val="single" w:sz="2" w:space="0" w:color="auto"/>
              <w:left w:val="single" w:sz="2" w:space="0" w:color="auto"/>
              <w:bottom w:val="single" w:sz="4" w:space="0" w:color="auto"/>
            </w:tcBorders>
            <w:vAlign w:val="center"/>
          </w:tcPr>
          <w:p w:rsidR="007B0CE3" w:rsidRPr="00BD728B" w:rsidRDefault="007B0CE3" w:rsidP="007B0CE3">
            <w:pPr>
              <w:spacing w:line="240" w:lineRule="auto"/>
              <w:jc w:val="left"/>
              <w:rPr>
                <w:rFonts w:cs="Tahoma"/>
                <w:sz w:val="18"/>
              </w:rPr>
            </w:pPr>
          </w:p>
        </w:tc>
        <w:tc>
          <w:tcPr>
            <w:tcW w:w="258" w:type="pct"/>
            <w:tcBorders>
              <w:bottom w:val="single" w:sz="4" w:space="0" w:color="auto"/>
            </w:tcBorders>
            <w:shd w:val="clear" w:color="auto" w:fill="D9D9D9" w:themeFill="background1" w:themeFillShade="D9"/>
            <w:vAlign w:val="center"/>
          </w:tcPr>
          <w:p w:rsidR="007B0CE3" w:rsidRPr="00BD728B" w:rsidRDefault="007B0CE3" w:rsidP="007B0CE3">
            <w:pPr>
              <w:spacing w:line="240" w:lineRule="auto"/>
              <w:jc w:val="left"/>
              <w:rPr>
                <w:rFonts w:cs="Tahoma"/>
                <w:sz w:val="18"/>
              </w:rPr>
            </w:pPr>
          </w:p>
        </w:tc>
        <w:tc>
          <w:tcPr>
            <w:tcW w:w="434" w:type="pct"/>
            <w:tcBorders>
              <w:bottom w:val="single" w:sz="4" w:space="0" w:color="auto"/>
            </w:tcBorders>
            <w:vAlign w:val="center"/>
          </w:tcPr>
          <w:p w:rsidR="007B0CE3" w:rsidRPr="00BD728B" w:rsidRDefault="007B0CE3" w:rsidP="007B0CE3">
            <w:pPr>
              <w:spacing w:line="240" w:lineRule="auto"/>
              <w:jc w:val="left"/>
              <w:rPr>
                <w:rFonts w:cs="Tahoma"/>
                <w:sz w:val="18"/>
              </w:rPr>
            </w:pPr>
          </w:p>
        </w:tc>
        <w:tc>
          <w:tcPr>
            <w:tcW w:w="898" w:type="pct"/>
            <w:tcBorders>
              <w:bottom w:val="single" w:sz="4" w:space="0" w:color="auto"/>
            </w:tcBorders>
            <w:vAlign w:val="center"/>
          </w:tcPr>
          <w:p w:rsidR="007B0CE3" w:rsidRPr="00BD728B" w:rsidRDefault="007B0CE3" w:rsidP="007B0CE3">
            <w:pPr>
              <w:spacing w:line="240" w:lineRule="auto"/>
              <w:jc w:val="left"/>
              <w:rPr>
                <w:rFonts w:cs="Tahoma"/>
                <w:sz w:val="18"/>
              </w:rPr>
            </w:pPr>
          </w:p>
        </w:tc>
      </w:tr>
    </w:tbl>
    <w:p w:rsidR="00560743" w:rsidRDefault="00560743" w:rsidP="00560743"/>
    <w:p w:rsidR="00560743" w:rsidRPr="00E30BCB" w:rsidRDefault="00560743" w:rsidP="00560743">
      <w:r>
        <w:t>Data___________</w:t>
      </w:r>
      <w:r>
        <w:tab/>
      </w:r>
      <w:r>
        <w:tab/>
      </w:r>
      <w:r>
        <w:tab/>
      </w:r>
      <w:r>
        <w:tab/>
      </w:r>
      <w:r>
        <w:tab/>
      </w:r>
      <w:r>
        <w:tab/>
      </w:r>
      <w:r>
        <w:tab/>
      </w:r>
      <w:r>
        <w:tab/>
      </w:r>
      <w:r>
        <w:tab/>
      </w:r>
      <w:r>
        <w:tab/>
      </w:r>
      <w:r>
        <w:tab/>
      </w:r>
      <w:r>
        <w:tab/>
      </w:r>
      <w:r>
        <w:tab/>
      </w:r>
      <w:r>
        <w:tab/>
      </w:r>
      <w:r>
        <w:tab/>
        <w:t>Firma_______</w:t>
      </w:r>
    </w:p>
    <w:p w:rsidR="006911F2" w:rsidRPr="009408AB" w:rsidRDefault="006911F2"/>
    <w:sectPr w:rsidR="006911F2" w:rsidRPr="009408AB" w:rsidSect="006911F2">
      <w:headerReference w:type="default" r:id="rId7"/>
      <w:footerReference w:type="even" r:id="rId8"/>
      <w:footerReference w:type="default" r:id="rId9"/>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758" w:rsidRDefault="00C97758">
      <w:r>
        <w:separator/>
      </w:r>
    </w:p>
  </w:endnote>
  <w:endnote w:type="continuationSeparator" w:id="0">
    <w:p w:rsidR="00C97758" w:rsidRDefault="00C97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1F2" w:rsidRDefault="0066519E">
    <w:pPr>
      <w:pStyle w:val="Footer"/>
      <w:framePr w:wrap="around" w:vAnchor="text" w:hAnchor="margin" w:xAlign="right" w:y="1"/>
      <w:rPr>
        <w:rStyle w:val="PageNumber"/>
      </w:rPr>
    </w:pPr>
    <w:r>
      <w:rPr>
        <w:rStyle w:val="PageNumber"/>
      </w:rPr>
      <w:fldChar w:fldCharType="begin"/>
    </w:r>
    <w:r w:rsidR="006911F2">
      <w:rPr>
        <w:rStyle w:val="PageNumber"/>
      </w:rPr>
      <w:instrText xml:space="preserve">PAGE  </w:instrText>
    </w:r>
    <w:r>
      <w:rPr>
        <w:rStyle w:val="PageNumber"/>
      </w:rPr>
      <w:fldChar w:fldCharType="end"/>
    </w:r>
  </w:p>
  <w:p w:rsidR="006911F2" w:rsidRDefault="006911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11F2" w:rsidRPr="00025C2A" w:rsidRDefault="0066519E">
    <w:pPr>
      <w:pStyle w:val="Footer"/>
      <w:framePr w:wrap="around" w:vAnchor="text" w:hAnchor="margin" w:xAlign="right" w:y="1"/>
      <w:rPr>
        <w:rStyle w:val="PageNumber"/>
      </w:rPr>
    </w:pPr>
    <w:r w:rsidRPr="00025C2A">
      <w:rPr>
        <w:rStyle w:val="PageNumber"/>
        <w:sz w:val="16"/>
        <w:szCs w:val="16"/>
      </w:rPr>
      <w:fldChar w:fldCharType="begin"/>
    </w:r>
    <w:r w:rsidR="006911F2" w:rsidRPr="00025C2A">
      <w:rPr>
        <w:rStyle w:val="PageNumber"/>
        <w:sz w:val="16"/>
        <w:szCs w:val="16"/>
      </w:rPr>
      <w:instrText xml:space="preserve">PAGE  </w:instrText>
    </w:r>
    <w:r w:rsidRPr="00025C2A">
      <w:rPr>
        <w:rStyle w:val="PageNumber"/>
        <w:sz w:val="16"/>
        <w:szCs w:val="16"/>
      </w:rPr>
      <w:fldChar w:fldCharType="separate"/>
    </w:r>
    <w:r w:rsidR="00560743">
      <w:rPr>
        <w:rStyle w:val="PageNumber"/>
        <w:noProof/>
        <w:sz w:val="16"/>
        <w:szCs w:val="16"/>
      </w:rPr>
      <w:t>1</w:t>
    </w:r>
    <w:r w:rsidRPr="00025C2A">
      <w:rPr>
        <w:rStyle w:val="PageNumber"/>
        <w:sz w:val="16"/>
        <w:szCs w:val="16"/>
      </w:rPr>
      <w:fldChar w:fldCharType="end"/>
    </w:r>
  </w:p>
  <w:p w:rsidR="006911F2" w:rsidRDefault="006911F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758" w:rsidRDefault="00C97758">
      <w:r>
        <w:separator/>
      </w:r>
    </w:p>
  </w:footnote>
  <w:footnote w:type="continuationSeparator" w:id="0">
    <w:p w:rsidR="00C97758" w:rsidRDefault="00C97758">
      <w:r>
        <w:continuationSeparator/>
      </w:r>
    </w:p>
  </w:footnote>
  <w:footnote w:id="1">
    <w:p w:rsidR="00881A7E" w:rsidRDefault="00881A7E" w:rsidP="00881A7E">
      <w:pPr>
        <w:pStyle w:val="FootnoteText"/>
      </w:pPr>
      <w:r w:rsidRPr="00E04A14">
        <w:rPr>
          <w:rStyle w:val="FootnoteReference"/>
          <w:sz w:val="18"/>
          <w:szCs w:val="18"/>
        </w:rPr>
        <w:footnoteRef/>
      </w:r>
      <w:r>
        <w:rPr>
          <w:sz w:val="18"/>
          <w:szCs w:val="18"/>
        </w:rPr>
        <w:t xml:space="preserve"> “Adempimento Non Previsto”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15D" w:rsidRDefault="005C21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0499E"/>
    <w:multiLevelType w:val="hybridMultilevel"/>
    <w:tmpl w:val="FD845F1E"/>
    <w:lvl w:ilvl="0" w:tplc="834C842E">
      <w:numFmt w:val="bullet"/>
      <w:lvlText w:val="-"/>
      <w:lvlJc w:val="left"/>
      <w:pPr>
        <w:ind w:left="720" w:hanging="360"/>
      </w:pPr>
      <w:rPr>
        <w:rFonts w:ascii="Times New Roman" w:eastAsia="Times New Roman"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7101F8"/>
    <w:multiLevelType w:val="hybridMultilevel"/>
    <w:tmpl w:val="6C08E154"/>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9C45BFE"/>
    <w:multiLevelType w:val="hybridMultilevel"/>
    <w:tmpl w:val="7710011A"/>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360728"/>
    <w:multiLevelType w:val="hybridMultilevel"/>
    <w:tmpl w:val="9892A2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E70011B"/>
    <w:multiLevelType w:val="hybridMultilevel"/>
    <w:tmpl w:val="5172052A"/>
    <w:lvl w:ilvl="0" w:tplc="332A1AB0">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73863AA"/>
    <w:multiLevelType w:val="hybridMultilevel"/>
    <w:tmpl w:val="748A38BE"/>
    <w:lvl w:ilvl="0" w:tplc="332A1AB0">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
  </w:num>
  <w:num w:numId="4">
    <w:abstractNumId w:val="7"/>
  </w:num>
  <w:num w:numId="5">
    <w:abstractNumId w:val="3"/>
  </w:num>
  <w:num w:numId="6">
    <w:abstractNumId w:val="15"/>
  </w:num>
  <w:num w:numId="7">
    <w:abstractNumId w:val="10"/>
  </w:num>
  <w:num w:numId="8">
    <w:abstractNumId w:val="9"/>
  </w:num>
  <w:num w:numId="9">
    <w:abstractNumId w:val="14"/>
  </w:num>
  <w:num w:numId="10">
    <w:abstractNumId w:val="1"/>
  </w:num>
  <w:num w:numId="11">
    <w:abstractNumId w:val="12"/>
  </w:num>
  <w:num w:numId="12">
    <w:abstractNumId w:val="11"/>
  </w:num>
  <w:num w:numId="13">
    <w:abstractNumId w:val="0"/>
  </w:num>
  <w:num w:numId="14">
    <w:abstractNumId w:val="5"/>
  </w:num>
  <w:num w:numId="15">
    <w:abstractNumId w:val="6"/>
  </w:num>
  <w:num w:numId="16">
    <w:abstractNumId w:val="17"/>
  </w:num>
  <w:num w:numId="17">
    <w:abstractNumId w:val="19"/>
  </w:num>
  <w:num w:numId="18">
    <w:abstractNumId w:val="4"/>
  </w:num>
  <w:num w:numId="19">
    <w:abstractNumId w:val="18"/>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47414"/>
    <w:rsid w:val="0000140C"/>
    <w:rsid w:val="000259D7"/>
    <w:rsid w:val="00025C2A"/>
    <w:rsid w:val="0006186D"/>
    <w:rsid w:val="00071FEB"/>
    <w:rsid w:val="000843A8"/>
    <w:rsid w:val="00085037"/>
    <w:rsid w:val="0009427C"/>
    <w:rsid w:val="00094D0D"/>
    <w:rsid w:val="000B4789"/>
    <w:rsid w:val="000C5726"/>
    <w:rsid w:val="001179CE"/>
    <w:rsid w:val="00122C04"/>
    <w:rsid w:val="00132D38"/>
    <w:rsid w:val="0016052C"/>
    <w:rsid w:val="00183D79"/>
    <w:rsid w:val="0018421F"/>
    <w:rsid w:val="00184635"/>
    <w:rsid w:val="001D37C6"/>
    <w:rsid w:val="001E3B10"/>
    <w:rsid w:val="001E64CD"/>
    <w:rsid w:val="001F63B7"/>
    <w:rsid w:val="002167C0"/>
    <w:rsid w:val="002250C0"/>
    <w:rsid w:val="00236607"/>
    <w:rsid w:val="00244F56"/>
    <w:rsid w:val="00247414"/>
    <w:rsid w:val="00251038"/>
    <w:rsid w:val="00277D8F"/>
    <w:rsid w:val="00283B95"/>
    <w:rsid w:val="00291F71"/>
    <w:rsid w:val="00293B70"/>
    <w:rsid w:val="00296EC5"/>
    <w:rsid w:val="002C0461"/>
    <w:rsid w:val="00304A25"/>
    <w:rsid w:val="00313F5A"/>
    <w:rsid w:val="00323792"/>
    <w:rsid w:val="0032736D"/>
    <w:rsid w:val="003333D7"/>
    <w:rsid w:val="00364E30"/>
    <w:rsid w:val="003732C3"/>
    <w:rsid w:val="00376086"/>
    <w:rsid w:val="00380752"/>
    <w:rsid w:val="003C0DDB"/>
    <w:rsid w:val="003E491F"/>
    <w:rsid w:val="003F52D8"/>
    <w:rsid w:val="003F7349"/>
    <w:rsid w:val="003F7A10"/>
    <w:rsid w:val="00412A3A"/>
    <w:rsid w:val="00416F6F"/>
    <w:rsid w:val="00434C5F"/>
    <w:rsid w:val="00441C3D"/>
    <w:rsid w:val="00445A6B"/>
    <w:rsid w:val="004515D7"/>
    <w:rsid w:val="0045521F"/>
    <w:rsid w:val="004558B1"/>
    <w:rsid w:val="004570D1"/>
    <w:rsid w:val="00457240"/>
    <w:rsid w:val="00463832"/>
    <w:rsid w:val="00477040"/>
    <w:rsid w:val="00482C89"/>
    <w:rsid w:val="004915AD"/>
    <w:rsid w:val="00497988"/>
    <w:rsid w:val="004B2B1B"/>
    <w:rsid w:val="004B4DDC"/>
    <w:rsid w:val="004B707F"/>
    <w:rsid w:val="004C0C3B"/>
    <w:rsid w:val="004E4AEB"/>
    <w:rsid w:val="004E5128"/>
    <w:rsid w:val="0050353B"/>
    <w:rsid w:val="00511CE9"/>
    <w:rsid w:val="00512656"/>
    <w:rsid w:val="00527FC1"/>
    <w:rsid w:val="00536A6A"/>
    <w:rsid w:val="00557BEE"/>
    <w:rsid w:val="00560743"/>
    <w:rsid w:val="00576DB0"/>
    <w:rsid w:val="00581459"/>
    <w:rsid w:val="005868D8"/>
    <w:rsid w:val="005A2779"/>
    <w:rsid w:val="005B0648"/>
    <w:rsid w:val="005C215D"/>
    <w:rsid w:val="005E3499"/>
    <w:rsid w:val="005E698E"/>
    <w:rsid w:val="005F4C7E"/>
    <w:rsid w:val="006032E8"/>
    <w:rsid w:val="006217B1"/>
    <w:rsid w:val="00621A00"/>
    <w:rsid w:val="006228CB"/>
    <w:rsid w:val="00623734"/>
    <w:rsid w:val="0062468A"/>
    <w:rsid w:val="006365F6"/>
    <w:rsid w:val="00657640"/>
    <w:rsid w:val="0066519E"/>
    <w:rsid w:val="006672AA"/>
    <w:rsid w:val="006742D2"/>
    <w:rsid w:val="00676A3B"/>
    <w:rsid w:val="006839F3"/>
    <w:rsid w:val="006911F2"/>
    <w:rsid w:val="006A0EAA"/>
    <w:rsid w:val="006A7435"/>
    <w:rsid w:val="006B3043"/>
    <w:rsid w:val="006B3673"/>
    <w:rsid w:val="006D4C4B"/>
    <w:rsid w:val="006F01CD"/>
    <w:rsid w:val="006F70E3"/>
    <w:rsid w:val="006F78DE"/>
    <w:rsid w:val="00710642"/>
    <w:rsid w:val="007164FC"/>
    <w:rsid w:val="007351EE"/>
    <w:rsid w:val="00737741"/>
    <w:rsid w:val="007540B1"/>
    <w:rsid w:val="00756EF9"/>
    <w:rsid w:val="007825B5"/>
    <w:rsid w:val="007A0A36"/>
    <w:rsid w:val="007A63C1"/>
    <w:rsid w:val="007B0CE3"/>
    <w:rsid w:val="007D23B1"/>
    <w:rsid w:val="008034BF"/>
    <w:rsid w:val="008214D6"/>
    <w:rsid w:val="00822BB1"/>
    <w:rsid w:val="0082568A"/>
    <w:rsid w:val="00851BA0"/>
    <w:rsid w:val="00872664"/>
    <w:rsid w:val="0087582A"/>
    <w:rsid w:val="00881A7E"/>
    <w:rsid w:val="00886097"/>
    <w:rsid w:val="008900A6"/>
    <w:rsid w:val="0089109C"/>
    <w:rsid w:val="00892058"/>
    <w:rsid w:val="008949B6"/>
    <w:rsid w:val="00895B25"/>
    <w:rsid w:val="008970EA"/>
    <w:rsid w:val="008A2B33"/>
    <w:rsid w:val="008B15F1"/>
    <w:rsid w:val="008B61D7"/>
    <w:rsid w:val="008D0CA3"/>
    <w:rsid w:val="008D146A"/>
    <w:rsid w:val="008D40AE"/>
    <w:rsid w:val="008D5845"/>
    <w:rsid w:val="008E161E"/>
    <w:rsid w:val="00912592"/>
    <w:rsid w:val="00921051"/>
    <w:rsid w:val="009217AA"/>
    <w:rsid w:val="009369E4"/>
    <w:rsid w:val="00940689"/>
    <w:rsid w:val="009408AB"/>
    <w:rsid w:val="009529CE"/>
    <w:rsid w:val="00954AEA"/>
    <w:rsid w:val="00963D5E"/>
    <w:rsid w:val="00963DF5"/>
    <w:rsid w:val="00964FAE"/>
    <w:rsid w:val="00971E5B"/>
    <w:rsid w:val="009B2757"/>
    <w:rsid w:val="009C3EE6"/>
    <w:rsid w:val="009D6A9D"/>
    <w:rsid w:val="009E0ED9"/>
    <w:rsid w:val="00A108CF"/>
    <w:rsid w:val="00A2780F"/>
    <w:rsid w:val="00A35EA5"/>
    <w:rsid w:val="00A413E5"/>
    <w:rsid w:val="00A4186E"/>
    <w:rsid w:val="00A74353"/>
    <w:rsid w:val="00A76698"/>
    <w:rsid w:val="00A975B4"/>
    <w:rsid w:val="00AC233B"/>
    <w:rsid w:val="00AC3ED5"/>
    <w:rsid w:val="00AD5EF3"/>
    <w:rsid w:val="00AD620F"/>
    <w:rsid w:val="00AE26ED"/>
    <w:rsid w:val="00AE584B"/>
    <w:rsid w:val="00AF0B22"/>
    <w:rsid w:val="00AF474B"/>
    <w:rsid w:val="00B133E4"/>
    <w:rsid w:val="00B167EE"/>
    <w:rsid w:val="00B16CCC"/>
    <w:rsid w:val="00B1792F"/>
    <w:rsid w:val="00B236D5"/>
    <w:rsid w:val="00B3209F"/>
    <w:rsid w:val="00B34997"/>
    <w:rsid w:val="00B4266B"/>
    <w:rsid w:val="00B6111A"/>
    <w:rsid w:val="00B61E2A"/>
    <w:rsid w:val="00B653E4"/>
    <w:rsid w:val="00B8128A"/>
    <w:rsid w:val="00BA343F"/>
    <w:rsid w:val="00BB108E"/>
    <w:rsid w:val="00BB27B3"/>
    <w:rsid w:val="00BB6DCC"/>
    <w:rsid w:val="00BC0872"/>
    <w:rsid w:val="00BD0FA6"/>
    <w:rsid w:val="00BE0D15"/>
    <w:rsid w:val="00BE13C5"/>
    <w:rsid w:val="00BF0DED"/>
    <w:rsid w:val="00C02353"/>
    <w:rsid w:val="00C222A4"/>
    <w:rsid w:val="00C42531"/>
    <w:rsid w:val="00C636D5"/>
    <w:rsid w:val="00C8598C"/>
    <w:rsid w:val="00C913C1"/>
    <w:rsid w:val="00C97758"/>
    <w:rsid w:val="00CA410A"/>
    <w:rsid w:val="00CB6219"/>
    <w:rsid w:val="00CC0A1D"/>
    <w:rsid w:val="00CD7FB5"/>
    <w:rsid w:val="00CE2B2F"/>
    <w:rsid w:val="00D039A6"/>
    <w:rsid w:val="00D0662F"/>
    <w:rsid w:val="00D17B79"/>
    <w:rsid w:val="00D2543A"/>
    <w:rsid w:val="00D26A81"/>
    <w:rsid w:val="00D36634"/>
    <w:rsid w:val="00D44CDD"/>
    <w:rsid w:val="00D47586"/>
    <w:rsid w:val="00D578AB"/>
    <w:rsid w:val="00DA0BC7"/>
    <w:rsid w:val="00DA5A12"/>
    <w:rsid w:val="00DC7DB1"/>
    <w:rsid w:val="00DE29A5"/>
    <w:rsid w:val="00DF686D"/>
    <w:rsid w:val="00E04A14"/>
    <w:rsid w:val="00E1082B"/>
    <w:rsid w:val="00E132F1"/>
    <w:rsid w:val="00E23B39"/>
    <w:rsid w:val="00E34962"/>
    <w:rsid w:val="00E42EA6"/>
    <w:rsid w:val="00E57577"/>
    <w:rsid w:val="00E60684"/>
    <w:rsid w:val="00E77414"/>
    <w:rsid w:val="00EA2559"/>
    <w:rsid w:val="00ED18DB"/>
    <w:rsid w:val="00EE4AD0"/>
    <w:rsid w:val="00EF2363"/>
    <w:rsid w:val="00EF3F38"/>
    <w:rsid w:val="00EF5EE2"/>
    <w:rsid w:val="00F05A4E"/>
    <w:rsid w:val="00F11C4F"/>
    <w:rsid w:val="00F16680"/>
    <w:rsid w:val="00F403E2"/>
    <w:rsid w:val="00F43E9A"/>
    <w:rsid w:val="00F469FB"/>
    <w:rsid w:val="00F479A3"/>
    <w:rsid w:val="00F5393B"/>
    <w:rsid w:val="00F60F4F"/>
    <w:rsid w:val="00F6354F"/>
    <w:rsid w:val="00F83604"/>
    <w:rsid w:val="00F92149"/>
    <w:rsid w:val="00F9504B"/>
    <w:rsid w:val="00FB324C"/>
    <w:rsid w:val="00FD5877"/>
    <w:rsid w:val="00FD5C53"/>
    <w:rsid w:val="00FD5D7C"/>
    <w:rsid w:val="00FD6902"/>
    <w:rsid w:val="00FD6C47"/>
    <w:rsid w:val="00FE2F91"/>
    <w:rsid w:val="00FF0510"/>
    <w:rsid w:val="00FF602B"/>
    <w:rsid w:val="00FF70A3"/>
    <w:rsid w:val="00FF743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FB2A7"/>
  <w15:docId w15:val="{87ECB947-58CC-405D-8ACF-D130425F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9CE"/>
    <w:pPr>
      <w:spacing w:line="360" w:lineRule="auto"/>
      <w:jc w:val="both"/>
    </w:pPr>
    <w:rPr>
      <w:rFonts w:ascii="Tahoma" w:hAnsi="Tahoma"/>
      <w:sz w:val="22"/>
      <w:szCs w:val="24"/>
      <w:lang w:val="it-IT" w:eastAsia="it-IT"/>
    </w:rPr>
  </w:style>
  <w:style w:type="paragraph" w:styleId="Heading1">
    <w:name w:val="heading 1"/>
    <w:basedOn w:val="Normal"/>
    <w:next w:val="Normal"/>
    <w:link w:val="Heading1Char"/>
    <w:uiPriority w:val="9"/>
    <w:qFormat/>
    <w:rsid w:val="001179CE"/>
    <w:pPr>
      <w:keepNext/>
      <w:outlineLvl w:val="0"/>
    </w:pPr>
    <w:rPr>
      <w:i/>
      <w:iCs/>
    </w:rPr>
  </w:style>
  <w:style w:type="paragraph" w:styleId="Heading2">
    <w:name w:val="heading 2"/>
    <w:basedOn w:val="Normal"/>
    <w:next w:val="Normal"/>
    <w:link w:val="Heading2Char"/>
    <w:uiPriority w:val="9"/>
    <w:qFormat/>
    <w:rsid w:val="001179CE"/>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1179CE"/>
    <w:pPr>
      <w:keepNext/>
      <w:tabs>
        <w:tab w:val="left" w:pos="7860"/>
      </w:tabs>
      <w:outlineLvl w:val="2"/>
    </w:pPr>
    <w:rPr>
      <w:u w:val="double"/>
    </w:rPr>
  </w:style>
  <w:style w:type="paragraph" w:styleId="Heading4">
    <w:name w:val="heading 4"/>
    <w:basedOn w:val="Normal"/>
    <w:next w:val="Normal"/>
    <w:link w:val="Heading4Char"/>
    <w:uiPriority w:val="9"/>
    <w:qFormat/>
    <w:rsid w:val="001179CE"/>
    <w:pPr>
      <w:keepNext/>
      <w:jc w:val="center"/>
      <w:outlineLvl w:val="3"/>
    </w:pPr>
    <w:rPr>
      <w:b/>
      <w:bCs/>
    </w:rPr>
  </w:style>
  <w:style w:type="paragraph" w:styleId="Heading5">
    <w:name w:val="heading 5"/>
    <w:basedOn w:val="Normal"/>
    <w:next w:val="Normal"/>
    <w:link w:val="Heading5Char"/>
    <w:uiPriority w:val="9"/>
    <w:qFormat/>
    <w:rsid w:val="001179CE"/>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2">
    <w:name w:val="Testo fumetto Carattere"/>
    <w:basedOn w:val="DefaultParagraphFont"/>
    <w:uiPriority w:val="99"/>
    <w:semiHidden/>
    <w:rsid w:val="00AD6FAB"/>
    <w:rPr>
      <w:rFonts w:ascii="Lucida Grande" w:hAnsi="Lucida Grande"/>
      <w:sz w:val="18"/>
      <w:szCs w:val="18"/>
    </w:rPr>
  </w:style>
  <w:style w:type="character" w:customStyle="1" w:styleId="TestofumettoCarattere3">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5D5506"/>
    <w:rPr>
      <w:rFonts w:asciiTheme="majorHAnsi" w:eastAsiaTheme="majorEastAsia" w:hAnsiTheme="majorHAnsi" w:cstheme="majorBidi"/>
      <w:b/>
      <w:bCs/>
      <w:kern w:val="32"/>
      <w:sz w:val="32"/>
      <w:szCs w:val="32"/>
      <w:lang w:val="it-IT" w:eastAsia="it-IT"/>
    </w:rPr>
  </w:style>
  <w:style w:type="character" w:customStyle="1" w:styleId="Heading2Char">
    <w:name w:val="Heading 2 Char"/>
    <w:basedOn w:val="DefaultParagraphFont"/>
    <w:link w:val="Heading2"/>
    <w:uiPriority w:val="9"/>
    <w:semiHidden/>
    <w:rsid w:val="005D5506"/>
    <w:rPr>
      <w:rFonts w:asciiTheme="majorHAnsi" w:eastAsiaTheme="majorEastAsia" w:hAnsiTheme="majorHAnsi" w:cstheme="majorBidi"/>
      <w:b/>
      <w:bCs/>
      <w:i/>
      <w:iCs/>
      <w:sz w:val="28"/>
      <w:szCs w:val="28"/>
      <w:lang w:val="it-IT" w:eastAsia="it-IT"/>
    </w:rPr>
  </w:style>
  <w:style w:type="character" w:customStyle="1" w:styleId="Heading3Char">
    <w:name w:val="Heading 3 Char"/>
    <w:basedOn w:val="DefaultParagraphFont"/>
    <w:link w:val="Heading3"/>
    <w:uiPriority w:val="9"/>
    <w:rsid w:val="005D5506"/>
    <w:rPr>
      <w:rFonts w:asciiTheme="majorHAnsi" w:eastAsiaTheme="majorEastAsia" w:hAnsiTheme="majorHAnsi" w:cstheme="majorBidi"/>
      <w:b/>
      <w:bCs/>
      <w:sz w:val="26"/>
      <w:szCs w:val="26"/>
      <w:lang w:val="it-IT" w:eastAsia="it-IT"/>
    </w:rPr>
  </w:style>
  <w:style w:type="character" w:customStyle="1" w:styleId="Heading4Char">
    <w:name w:val="Heading 4 Char"/>
    <w:basedOn w:val="DefaultParagraphFont"/>
    <w:link w:val="Heading4"/>
    <w:uiPriority w:val="9"/>
    <w:semiHidden/>
    <w:rsid w:val="005D5506"/>
    <w:rPr>
      <w:rFonts w:asciiTheme="minorHAnsi" w:eastAsiaTheme="minorEastAsia" w:hAnsiTheme="minorHAnsi" w:cstheme="minorBidi"/>
      <w:b/>
      <w:bCs/>
      <w:sz w:val="28"/>
      <w:szCs w:val="28"/>
      <w:lang w:val="it-IT" w:eastAsia="it-IT"/>
    </w:rPr>
  </w:style>
  <w:style w:type="character" w:customStyle="1" w:styleId="Heading5Char">
    <w:name w:val="Heading 5 Char"/>
    <w:basedOn w:val="DefaultParagraphFont"/>
    <w:link w:val="Heading5"/>
    <w:uiPriority w:val="9"/>
    <w:semiHidden/>
    <w:rsid w:val="005D5506"/>
    <w:rPr>
      <w:rFonts w:asciiTheme="minorHAnsi" w:eastAsiaTheme="minorEastAsia" w:hAnsiTheme="minorHAnsi" w:cstheme="minorBidi"/>
      <w:b/>
      <w:bCs/>
      <w:i/>
      <w:iCs/>
      <w:sz w:val="26"/>
      <w:szCs w:val="26"/>
      <w:lang w:val="it-IT" w:eastAsia="it-IT"/>
    </w:rPr>
  </w:style>
  <w:style w:type="paragraph" w:styleId="BodyText">
    <w:name w:val="Body Text"/>
    <w:basedOn w:val="Normal"/>
    <w:link w:val="BodyTextChar"/>
    <w:uiPriority w:val="99"/>
    <w:rsid w:val="001179CE"/>
    <w:pPr>
      <w:spacing w:line="240" w:lineRule="auto"/>
    </w:pPr>
    <w:rPr>
      <w:b/>
      <w:bCs/>
      <w:sz w:val="16"/>
    </w:rPr>
  </w:style>
  <w:style w:type="character" w:customStyle="1" w:styleId="BodyTextChar">
    <w:name w:val="Body Text Char"/>
    <w:basedOn w:val="DefaultParagraphFont"/>
    <w:link w:val="BodyText"/>
    <w:uiPriority w:val="99"/>
    <w:semiHidden/>
    <w:rsid w:val="005D5506"/>
    <w:rPr>
      <w:rFonts w:ascii="Tahoma" w:hAnsi="Tahoma"/>
      <w:sz w:val="22"/>
      <w:szCs w:val="24"/>
      <w:lang w:val="it-IT" w:eastAsia="it-IT"/>
    </w:rPr>
  </w:style>
  <w:style w:type="paragraph" w:styleId="BodyText2">
    <w:name w:val="Body Text 2"/>
    <w:basedOn w:val="Normal"/>
    <w:link w:val="BodyText2Char"/>
    <w:uiPriority w:val="99"/>
    <w:rsid w:val="001179CE"/>
    <w:pPr>
      <w:spacing w:line="240" w:lineRule="auto"/>
      <w:jc w:val="left"/>
    </w:pPr>
    <w:rPr>
      <w:rFonts w:cs="Tahoma"/>
      <w:sz w:val="20"/>
    </w:rPr>
  </w:style>
  <w:style w:type="character" w:customStyle="1" w:styleId="BodyText2Char">
    <w:name w:val="Body Text 2 Char"/>
    <w:basedOn w:val="DefaultParagraphFont"/>
    <w:link w:val="BodyText2"/>
    <w:uiPriority w:val="99"/>
    <w:rsid w:val="005D5506"/>
    <w:rPr>
      <w:rFonts w:ascii="Tahoma" w:hAnsi="Tahoma"/>
      <w:sz w:val="22"/>
      <w:szCs w:val="24"/>
      <w:lang w:val="it-IT" w:eastAsia="it-IT"/>
    </w:rPr>
  </w:style>
  <w:style w:type="paragraph" w:styleId="Title">
    <w:name w:val="Title"/>
    <w:basedOn w:val="Normal"/>
    <w:link w:val="TitleChar"/>
    <w:uiPriority w:val="10"/>
    <w:qFormat/>
    <w:rsid w:val="001179CE"/>
    <w:pPr>
      <w:jc w:val="center"/>
    </w:pPr>
    <w:rPr>
      <w:b/>
      <w:bCs/>
    </w:rPr>
  </w:style>
  <w:style w:type="character" w:customStyle="1" w:styleId="TitleChar">
    <w:name w:val="Title Char"/>
    <w:basedOn w:val="DefaultParagraphFont"/>
    <w:link w:val="Title"/>
    <w:uiPriority w:val="10"/>
    <w:rsid w:val="005D5506"/>
    <w:rPr>
      <w:rFonts w:asciiTheme="majorHAnsi" w:eastAsiaTheme="majorEastAsia" w:hAnsiTheme="majorHAnsi" w:cstheme="majorBidi"/>
      <w:b/>
      <w:bCs/>
      <w:kern w:val="28"/>
      <w:sz w:val="32"/>
      <w:szCs w:val="32"/>
      <w:lang w:val="it-IT" w:eastAsia="it-IT"/>
    </w:rPr>
  </w:style>
  <w:style w:type="paragraph" w:styleId="BodyText3">
    <w:name w:val="Body Text 3"/>
    <w:basedOn w:val="Normal"/>
    <w:link w:val="BodyText3Char"/>
    <w:uiPriority w:val="99"/>
    <w:rsid w:val="001179CE"/>
    <w:rPr>
      <w:b/>
      <w:bCs/>
    </w:rPr>
  </w:style>
  <w:style w:type="character" w:customStyle="1" w:styleId="BodyText3Char">
    <w:name w:val="Body Text 3 Char"/>
    <w:basedOn w:val="DefaultParagraphFont"/>
    <w:link w:val="BodyText3"/>
    <w:uiPriority w:val="99"/>
    <w:semiHidden/>
    <w:rsid w:val="005D5506"/>
    <w:rPr>
      <w:rFonts w:ascii="Tahoma" w:hAnsi="Tahoma"/>
      <w:sz w:val="16"/>
      <w:szCs w:val="16"/>
      <w:lang w:val="it-IT" w:eastAsia="it-IT"/>
    </w:rPr>
  </w:style>
  <w:style w:type="paragraph" w:styleId="FootnoteText">
    <w:name w:val="footnote text"/>
    <w:basedOn w:val="Normal"/>
    <w:link w:val="FootnoteTextChar"/>
    <w:uiPriority w:val="99"/>
    <w:semiHidden/>
    <w:rsid w:val="001179CE"/>
    <w:pPr>
      <w:spacing w:line="240" w:lineRule="auto"/>
    </w:pPr>
    <w:rPr>
      <w:sz w:val="20"/>
      <w:szCs w:val="20"/>
    </w:rPr>
  </w:style>
  <w:style w:type="character" w:customStyle="1" w:styleId="FootnoteTextChar">
    <w:name w:val="Footnote Text Char"/>
    <w:basedOn w:val="DefaultParagraphFont"/>
    <w:link w:val="FootnoteText"/>
    <w:uiPriority w:val="99"/>
    <w:semiHidden/>
    <w:rsid w:val="005D5506"/>
    <w:rPr>
      <w:rFonts w:ascii="Tahoma" w:hAnsi="Tahoma"/>
      <w:lang w:val="it-IT" w:eastAsia="it-IT"/>
    </w:rPr>
  </w:style>
  <w:style w:type="character" w:styleId="FootnoteReference">
    <w:name w:val="footnote reference"/>
    <w:basedOn w:val="DefaultParagraphFont"/>
    <w:uiPriority w:val="99"/>
    <w:semiHidden/>
    <w:rsid w:val="001179CE"/>
    <w:rPr>
      <w:rFonts w:cs="Times New Roman"/>
      <w:vertAlign w:val="superscript"/>
    </w:rPr>
  </w:style>
  <w:style w:type="paragraph" w:styleId="Footer">
    <w:name w:val="footer"/>
    <w:basedOn w:val="Normal"/>
    <w:link w:val="FooterChar"/>
    <w:uiPriority w:val="99"/>
    <w:rsid w:val="001179CE"/>
    <w:pPr>
      <w:tabs>
        <w:tab w:val="center" w:pos="4819"/>
        <w:tab w:val="right" w:pos="9638"/>
      </w:tabs>
    </w:pPr>
  </w:style>
  <w:style w:type="character" w:customStyle="1" w:styleId="FooterChar">
    <w:name w:val="Footer Char"/>
    <w:basedOn w:val="DefaultParagraphFont"/>
    <w:link w:val="Footer"/>
    <w:uiPriority w:val="99"/>
    <w:semiHidden/>
    <w:rsid w:val="005D5506"/>
    <w:rPr>
      <w:rFonts w:ascii="Tahoma" w:hAnsi="Tahoma"/>
      <w:sz w:val="22"/>
      <w:szCs w:val="24"/>
      <w:lang w:val="it-IT" w:eastAsia="it-IT"/>
    </w:rPr>
  </w:style>
  <w:style w:type="character" w:styleId="PageNumber">
    <w:name w:val="page number"/>
    <w:basedOn w:val="DefaultParagraphFont"/>
    <w:uiPriority w:val="99"/>
    <w:rsid w:val="001179CE"/>
    <w:rPr>
      <w:rFonts w:cs="Times New Roman"/>
    </w:rPr>
  </w:style>
  <w:style w:type="character" w:customStyle="1" w:styleId="BalloonTextChar">
    <w:name w:val="Balloon Text Char"/>
    <w:basedOn w:val="DefaultParagraphFont"/>
    <w:link w:val="BalloonText"/>
    <w:uiPriority w:val="99"/>
    <w:semiHidden/>
    <w:rsid w:val="005D5506"/>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5D5506"/>
    <w:rPr>
      <w:rFonts w:ascii="Tahoma" w:hAnsi="Tahoma"/>
      <w:sz w:val="22"/>
      <w:szCs w:val="24"/>
      <w:lang w:val="it-IT" w:eastAsia="it-IT"/>
    </w:rPr>
  </w:style>
  <w:style w:type="character" w:customStyle="1" w:styleId="apple-style-span">
    <w:name w:val="apple-style-span"/>
    <w:basedOn w:val="DefaultParagraphFont"/>
    <w:rsid w:val="00F9504B"/>
    <w:rPr>
      <w:rFonts w:cs="Times New Roman"/>
    </w:rPr>
  </w:style>
  <w:style w:type="character" w:customStyle="1" w:styleId="apple-converted-space">
    <w:name w:val="apple-converted-space"/>
    <w:basedOn w:val="DefaultParagraphFont"/>
    <w:rsid w:val="00F9504B"/>
    <w:rPr>
      <w:rFonts w:cs="Times New Roman"/>
    </w:rPr>
  </w:style>
  <w:style w:type="character" w:styleId="Hyperlink">
    <w:name w:val="Hyperlink"/>
    <w:basedOn w:val="DefaultParagraphFont"/>
    <w:uiPriority w:val="99"/>
    <w:rsid w:val="00F9504B"/>
    <w:rPr>
      <w:rFonts w:cs="Times New Roman"/>
      <w:color w:val="0000FF"/>
      <w:u w:val="single"/>
    </w:rPr>
  </w:style>
  <w:style w:type="paragraph" w:styleId="Revision">
    <w:name w:val="Revision"/>
    <w:hidden/>
    <w:uiPriority w:val="99"/>
    <w:semiHidden/>
    <w:rsid w:val="005C215D"/>
    <w:rPr>
      <w:rFonts w:ascii="Tahoma" w:hAnsi="Tahoma"/>
      <w:sz w:val="22"/>
      <w:szCs w:val="24"/>
      <w:lang w:val="it-IT" w:eastAsia="it-IT"/>
    </w:rPr>
  </w:style>
  <w:style w:type="table" w:styleId="TableGrid">
    <w:name w:val="Table Grid"/>
    <w:basedOn w:val="TableNormal"/>
    <w:rsid w:val="003C0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00">
    <w:name w:val="titolo 100"/>
    <w:rsid w:val="00560743"/>
    <w:pPr>
      <w:spacing w:line="360" w:lineRule="auto"/>
      <w:jc w:val="center"/>
    </w:pPr>
    <w:rPr>
      <w:rFonts w:ascii="DecimaWE Rg" w:hAnsi="DecimaWE Rg"/>
      <w:b/>
      <w:color w:val="2C5BAE"/>
      <w:sz w:val="52"/>
      <w:szCs w:val="5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9631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1327</Words>
  <Characters>7564</Characters>
  <Application>Microsoft Office Word</Application>
  <DocSecurity>0</DocSecurity>
  <Lines>63</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Francesca Solca - LATTANZIO Group</cp:lastModifiedBy>
  <cp:revision>5</cp:revision>
  <cp:lastPrinted>2006-09-08T15:08:00Z</cp:lastPrinted>
  <dcterms:created xsi:type="dcterms:W3CDTF">2016-12-22T11:10:00Z</dcterms:created>
  <dcterms:modified xsi:type="dcterms:W3CDTF">2017-07-17T17:01:00Z</dcterms:modified>
</cp:coreProperties>
</file>